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70" w:hanging="565" w:hangingChars="202"/>
        <w:jc w:val="left"/>
        <w:rPr>
          <w:rFonts w:hint="eastAsia"/>
          <w:sz w:val="28"/>
          <w:szCs w:val="36"/>
        </w:rPr>
      </w:pPr>
      <w:bookmarkStart w:id="0" w:name="_GoBack"/>
      <w:bookmarkEnd w:id="0"/>
      <w:r>
        <w:rPr>
          <w:rFonts w:hint="eastAsia"/>
          <w:sz w:val="28"/>
          <w:szCs w:val="36"/>
        </w:rPr>
        <w:t>附件1</w:t>
      </w:r>
    </w:p>
    <w:p>
      <w:pPr>
        <w:jc w:val="center"/>
        <w:rPr>
          <w:rFonts w:ascii="黑体" w:hAnsi="黑体" w:eastAsia="黑体"/>
          <w:b/>
          <w:bCs/>
          <w:sz w:val="44"/>
          <w:szCs w:val="52"/>
        </w:rPr>
      </w:pPr>
      <w:r>
        <w:rPr>
          <w:rFonts w:hint="eastAsia" w:ascii="黑体" w:hAnsi="黑体" w:eastAsia="黑体"/>
          <w:b/>
          <w:bCs/>
          <w:sz w:val="44"/>
          <w:szCs w:val="52"/>
        </w:rPr>
        <w:t>项目技术需求</w:t>
      </w:r>
    </w:p>
    <w:p>
      <w:pPr>
        <w:rPr>
          <w:rFonts w:hint="eastAsia"/>
        </w:rPr>
      </w:pPr>
    </w:p>
    <w:tbl>
      <w:tblPr>
        <w:tblStyle w:val="8"/>
        <w:tblW w:w="9460" w:type="dxa"/>
        <w:jc w:val="center"/>
        <w:tblLayout w:type="fixed"/>
        <w:tblCellMar>
          <w:top w:w="0" w:type="dxa"/>
          <w:left w:w="0" w:type="dxa"/>
          <w:bottom w:w="0" w:type="dxa"/>
          <w:right w:w="0" w:type="dxa"/>
        </w:tblCellMar>
      </w:tblPr>
      <w:tblGrid>
        <w:gridCol w:w="681"/>
        <w:gridCol w:w="1642"/>
        <w:gridCol w:w="7137"/>
      </w:tblGrid>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项目</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参数要求</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设备层次</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国产，取得CFDA注册证。</w:t>
            </w:r>
          </w:p>
        </w:tc>
      </w:tr>
      <w:tr>
        <w:tblPrEx>
          <w:tblCellMar>
            <w:top w:w="0" w:type="dxa"/>
            <w:left w:w="0" w:type="dxa"/>
            <w:bottom w:w="0" w:type="dxa"/>
            <w:right w:w="0" w:type="dxa"/>
          </w:tblCellMar>
        </w:tblPrEx>
        <w:trPr>
          <w:trHeight w:val="9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基本功能</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全自动完成免疫实验。包括加样、稀释、振荡、孵育、清洗、读数、及结果判断全过程实验。可实现急诊、自动复测。支持自动负载均衡、样本追踪、质控对比分析。使用急诊样本优先通道，急诊标本最快可30秒进入急诊检测状态。</w:t>
            </w:r>
          </w:p>
        </w:tc>
      </w:tr>
      <w:tr>
        <w:tblPrEx>
          <w:tblCellMar>
            <w:top w:w="0" w:type="dxa"/>
            <w:left w:w="0" w:type="dxa"/>
            <w:bottom w:w="0" w:type="dxa"/>
            <w:right w:w="0"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测定方法</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磁微粒化学发光免疫测定（CLIA）</w:t>
            </w:r>
          </w:p>
        </w:tc>
      </w:tr>
      <w:tr>
        <w:tblPrEx>
          <w:tblCellMar>
            <w:top w:w="0" w:type="dxa"/>
            <w:left w:w="0" w:type="dxa"/>
            <w:bottom w:w="0" w:type="dxa"/>
            <w:right w:w="0" w:type="dxa"/>
          </w:tblCellMar>
        </w:tblPrEx>
        <w:trPr>
          <w:trHeight w:val="570" w:hRule="atLeast"/>
          <w:jc w:val="center"/>
        </w:trPr>
        <w:tc>
          <w:tcPr>
            <w:tcW w:w="681" w:type="dxa"/>
            <w:tcBorders>
              <w:top w:val="single" w:color="000000" w:sz="4" w:space="0"/>
              <w:left w:val="single" w:color="000000" w:sz="4" w:space="0"/>
              <w:bottom w:val="nil"/>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系统组成</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整套检测系统由样本管理单元、样本传输轨道、多台化学发光测定仪组成一个整体，一套电脑即可完成整个系统的操控；</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可扩展性</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同型号发光仪，最少支持3台仪器联机使用；</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检测通量</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Style w:val="13"/>
                <w:rFonts w:hint="default"/>
                <w:lang w:bidi="ar"/>
              </w:rPr>
              <w:t>≥390测试/小时</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进样模式</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原试管装载，多种预稀释比例选择，急诊优先。</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样本位</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≥240个样本，有急诊样本优先通道。</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样本稀释</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支持在机稀释。</w:t>
            </w:r>
          </w:p>
        </w:tc>
      </w:tr>
      <w:tr>
        <w:tblPrEx>
          <w:tblCellMar>
            <w:top w:w="0" w:type="dxa"/>
            <w:left w:w="0" w:type="dxa"/>
            <w:bottom w:w="0" w:type="dxa"/>
            <w:right w:w="0" w:type="dxa"/>
          </w:tblCellMar>
        </w:tblPrEx>
        <w:trPr>
          <w:trHeight w:val="33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加样针</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Style w:val="13"/>
                <w:rFonts w:hint="default"/>
                <w:lang w:bidi="ar"/>
              </w:rPr>
              <w:t>特氟龙涂层加样钢针，携带污染率＜10</w:t>
            </w:r>
            <w:r>
              <w:rPr>
                <w:rStyle w:val="14"/>
                <w:rFonts w:hint="default"/>
                <w:lang w:bidi="ar"/>
              </w:rPr>
              <w:t>-6</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监测、预警功能</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可进行试剂、耗材、废弃物状态提示</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远程功能</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支持远程协助、软件升级、故障预警等功能</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试剂位</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Style w:val="13"/>
                <w:rFonts w:hint="default"/>
                <w:lang w:bidi="ar"/>
              </w:rPr>
              <w:t>≥</w:t>
            </w:r>
            <w:r>
              <w:rPr>
                <w:rStyle w:val="13"/>
                <w:rFonts w:hint="eastAsia" w:eastAsia="宋体"/>
                <w:lang w:val="en-US" w:eastAsia="zh-CN" w:bidi="ar"/>
              </w:rPr>
              <w:t>36</w:t>
            </w:r>
            <w:r>
              <w:rPr>
                <w:rStyle w:val="13"/>
                <w:rFonts w:hint="default"/>
                <w:lang w:bidi="ar"/>
              </w:rPr>
              <w:t>个，在机冷藏功能，温度≤10℃</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反应杯</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独立反应杯（独立单管)，连续供给，随时添加；一次性添加≥2900个。</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试剂更换</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支持不停机更换试剂</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孵育温度</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孵育位置</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≥380个</w:t>
            </w:r>
          </w:p>
        </w:tc>
      </w:tr>
      <w:tr>
        <w:tblPrEx>
          <w:tblCellMar>
            <w:top w:w="0" w:type="dxa"/>
            <w:left w:w="0" w:type="dxa"/>
            <w:bottom w:w="0" w:type="dxa"/>
            <w:right w:w="0"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清洗方式</w:t>
            </w:r>
          </w:p>
        </w:tc>
        <w:tc>
          <w:tcPr>
            <w:tcW w:w="713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磁分离清洗，磁珠有多次分散聚集的过程，不少于4次的磁洗</w:t>
            </w:r>
          </w:p>
        </w:tc>
      </w:tr>
      <w:tr>
        <w:tblPrEx>
          <w:tblCellMar>
            <w:top w:w="0" w:type="dxa"/>
            <w:left w:w="0" w:type="dxa"/>
            <w:bottom w:w="0" w:type="dxa"/>
            <w:right w:w="0" w:type="dxa"/>
          </w:tblCellMar>
        </w:tblPrEx>
        <w:trPr>
          <w:trHeight w:val="31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系统连接</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Style w:val="13"/>
                <w:rFonts w:hint="default"/>
                <w:lang w:bidi="ar"/>
              </w:rPr>
              <w:t>提供与医院</w:t>
            </w:r>
            <w:r>
              <w:rPr>
                <w:rStyle w:val="15"/>
                <w:rFonts w:eastAsia="宋体"/>
                <w:lang w:bidi="ar"/>
              </w:rPr>
              <w:t>Lis</w:t>
            </w:r>
            <w:r>
              <w:rPr>
                <w:rStyle w:val="13"/>
                <w:rFonts w:hint="default"/>
                <w:lang w:bidi="ar"/>
              </w:rPr>
              <w:t>系统连接。</w:t>
            </w:r>
          </w:p>
        </w:tc>
      </w:tr>
      <w:tr>
        <w:tblPrEx>
          <w:tblCellMar>
            <w:top w:w="0" w:type="dxa"/>
            <w:left w:w="0" w:type="dxa"/>
            <w:bottom w:w="0" w:type="dxa"/>
            <w:right w:w="0" w:type="dxa"/>
          </w:tblCellMar>
        </w:tblPrEx>
        <w:trPr>
          <w:trHeight w:val="57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售后服务</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整机保修≥5年；故障反应时间≤2小时，12小时内解决故障问题；免费提供安装、调试、培训、技术服务等。</w:t>
            </w:r>
          </w:p>
        </w:tc>
      </w:tr>
      <w:tr>
        <w:tblPrEx>
          <w:tblCellMar>
            <w:top w:w="0" w:type="dxa"/>
            <w:left w:w="0" w:type="dxa"/>
            <w:bottom w:w="0" w:type="dxa"/>
            <w:right w:w="0" w:type="dxa"/>
          </w:tblCellMar>
        </w:tblPrEx>
        <w:trPr>
          <w:trHeight w:val="11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21</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传染病检测项目</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乙肝五项全定量检测：乙型肝炎病毒表面抗原、乙型肝炎病毒表面抗体、乙型肝炎病毒e抗原、乙型肝炎病毒e抗体、乙型肝炎病毒核心抗体；丙型肝炎病毒IgG抗体、梅毒螺旋体抗体、人类免疫缺陷病毒抗体和抗原（P24）联合检测；需提供CFDA注册证</w:t>
            </w:r>
          </w:p>
        </w:tc>
      </w:tr>
      <w:tr>
        <w:tblPrEx>
          <w:tblCellMar>
            <w:top w:w="0" w:type="dxa"/>
            <w:left w:w="0" w:type="dxa"/>
            <w:bottom w:w="0" w:type="dxa"/>
            <w:right w:w="0" w:type="dxa"/>
          </w:tblCellMar>
        </w:tblPrEx>
        <w:trPr>
          <w:trHeight w:val="57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27</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在线式不间断稳压电源</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为化学发光设备在供电意外导致备用电切换时提供匹配功率的不间断电力供应</w:t>
            </w:r>
          </w:p>
        </w:tc>
      </w:tr>
      <w:tr>
        <w:tblPrEx>
          <w:tblCellMar>
            <w:top w:w="0" w:type="dxa"/>
            <w:left w:w="0" w:type="dxa"/>
            <w:bottom w:w="0" w:type="dxa"/>
            <w:right w:w="0" w:type="dxa"/>
          </w:tblCellMar>
        </w:tblPrEx>
        <w:trPr>
          <w:trHeight w:val="57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水机</w:t>
            </w:r>
          </w:p>
        </w:tc>
        <w:tc>
          <w:tcPr>
            <w:tcW w:w="71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right w:w="108"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为化学发光设备在正常工作时提供匹配流量的纯水供应</w:t>
            </w:r>
          </w:p>
        </w:tc>
      </w:tr>
      <w:tr>
        <w:tblPrEx>
          <w:tblCellMar>
            <w:top w:w="0" w:type="dxa"/>
            <w:left w:w="0" w:type="dxa"/>
            <w:bottom w:w="0" w:type="dxa"/>
            <w:right w:w="0" w:type="dxa"/>
          </w:tblCellMar>
        </w:tblPrEx>
        <w:trPr>
          <w:trHeight w:val="420" w:hRule="atLeast"/>
          <w:jc w:val="center"/>
        </w:trPr>
        <w:tc>
          <w:tcPr>
            <w:tcW w:w="681" w:type="dxa"/>
            <w:tcBorders>
              <w:top w:val="nil"/>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c>
          <w:tcPr>
            <w:tcW w:w="8779" w:type="dxa"/>
            <w:gridSpan w:val="2"/>
            <w:tcBorders>
              <w:top w:val="nil"/>
              <w:left w:val="single" w:color="000000" w:sz="4" w:space="0"/>
              <w:bottom w:val="single" w:color="000000" w:sz="4" w:space="0"/>
              <w:right w:val="single" w:color="000000" w:sz="4" w:space="0"/>
            </w:tcBorders>
            <w:shd w:val="clear" w:color="auto" w:fill="auto"/>
            <w:noWrap/>
            <w:tcMar>
              <w:top w:w="0" w:type="dxa"/>
              <w:left w:w="108" w:type="dxa"/>
              <w:right w:w="108"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不满足招标文件中加注星号（★）技术条款要求的，投标无效。</w:t>
            </w:r>
          </w:p>
        </w:tc>
      </w:tr>
    </w:tbl>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C0841"/>
    <w:rsid w:val="003D0E03"/>
    <w:rsid w:val="00BE3CA1"/>
    <w:rsid w:val="03711185"/>
    <w:rsid w:val="04C9134D"/>
    <w:rsid w:val="07271166"/>
    <w:rsid w:val="0928561C"/>
    <w:rsid w:val="0B3C44DD"/>
    <w:rsid w:val="0F4755C3"/>
    <w:rsid w:val="112D0061"/>
    <w:rsid w:val="12882AEF"/>
    <w:rsid w:val="173D6CBE"/>
    <w:rsid w:val="18CC272B"/>
    <w:rsid w:val="1D294B74"/>
    <w:rsid w:val="1F70355A"/>
    <w:rsid w:val="25821384"/>
    <w:rsid w:val="26A4071A"/>
    <w:rsid w:val="2A2D6B69"/>
    <w:rsid w:val="2AA72BDB"/>
    <w:rsid w:val="2C176259"/>
    <w:rsid w:val="2F370CF2"/>
    <w:rsid w:val="2FEE587E"/>
    <w:rsid w:val="309E0C3C"/>
    <w:rsid w:val="33813B89"/>
    <w:rsid w:val="36243E6A"/>
    <w:rsid w:val="448B41CD"/>
    <w:rsid w:val="44C244AF"/>
    <w:rsid w:val="44DF01E9"/>
    <w:rsid w:val="450F0806"/>
    <w:rsid w:val="462D3FE5"/>
    <w:rsid w:val="47346894"/>
    <w:rsid w:val="55991ADE"/>
    <w:rsid w:val="58782ED9"/>
    <w:rsid w:val="5FD81A38"/>
    <w:rsid w:val="63C706A9"/>
    <w:rsid w:val="648009CF"/>
    <w:rsid w:val="6D0805A1"/>
    <w:rsid w:val="6EA203A4"/>
    <w:rsid w:val="704C0841"/>
    <w:rsid w:val="73244E48"/>
    <w:rsid w:val="74245B0D"/>
    <w:rsid w:val="767C578E"/>
    <w:rsid w:val="794C460D"/>
    <w:rsid w:val="7CBD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0"/>
    <w:pPr>
      <w:outlineLvl w:val="4"/>
    </w:pPr>
    <w:rPr>
      <w:rFonts w:ascii="Times New Roman" w:hAnsi="Times New Roman" w:eastAsia="华文中宋"/>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Plain Text"/>
    <w:basedOn w:val="1"/>
    <w:qFormat/>
    <w:uiPriority w:val="99"/>
    <w:rPr>
      <w:rFonts w:ascii="宋体" w:hAnsi="Courier New" w:eastAsia="仿宋_GB2312"/>
      <w:sz w:val="28"/>
      <w:szCs w:val="20"/>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Calibri" w:hAnsi="Calibri" w:eastAsia="Calibri" w:cs="Calibri"/>
      <w:lang w:val="nl-NL" w:eastAsia="nl-NL" w:bidi="nl-NL"/>
    </w:rPr>
  </w:style>
  <w:style w:type="paragraph" w:styleId="12">
    <w:name w:val="List Paragraph"/>
    <w:basedOn w:val="1"/>
    <w:qFormat/>
    <w:uiPriority w:val="34"/>
    <w:pPr>
      <w:widowControl/>
      <w:spacing w:after="200" w:line="276" w:lineRule="auto"/>
      <w:ind w:left="720"/>
      <w:contextualSpacing/>
      <w:jc w:val="left"/>
    </w:pPr>
    <w:rPr>
      <w:rFonts w:ascii="Calibri" w:hAnsi="Calibri" w:eastAsia="宋体" w:cs="Times New Roman"/>
      <w:kern w:val="0"/>
      <w:sz w:val="22"/>
      <w:szCs w:val="22"/>
    </w:rPr>
  </w:style>
  <w:style w:type="character" w:customStyle="1" w:styleId="13">
    <w:name w:val="font31"/>
    <w:basedOn w:val="10"/>
    <w:qFormat/>
    <w:uiPriority w:val="0"/>
    <w:rPr>
      <w:rFonts w:hint="eastAsia" w:ascii="宋体" w:hAnsi="宋体" w:eastAsia="宋体" w:cs="宋体"/>
      <w:color w:val="000000"/>
      <w:sz w:val="24"/>
      <w:szCs w:val="24"/>
      <w:u w:val="none"/>
    </w:rPr>
  </w:style>
  <w:style w:type="character" w:customStyle="1" w:styleId="14">
    <w:name w:val="font11"/>
    <w:basedOn w:val="10"/>
    <w:qFormat/>
    <w:uiPriority w:val="0"/>
    <w:rPr>
      <w:rFonts w:hint="eastAsia" w:ascii="宋体" w:hAnsi="宋体" w:eastAsia="宋体" w:cs="宋体"/>
      <w:color w:val="000000"/>
      <w:sz w:val="24"/>
      <w:szCs w:val="24"/>
      <w:u w:val="none"/>
      <w:vertAlign w:val="superscript"/>
    </w:rPr>
  </w:style>
  <w:style w:type="character" w:customStyle="1" w:styleId="15">
    <w:name w:val="font0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140</Words>
  <Characters>798</Characters>
  <Lines>6</Lines>
  <Paragraphs>1</Paragraphs>
  <TotalTime>122</TotalTime>
  <ScaleCrop>false</ScaleCrop>
  <LinksUpToDate>false</LinksUpToDate>
  <CharactersWithSpaces>937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2021-12-10T10:43:00Z</dcterms:created>
  <dc:creator>海冰</dc:creator>
  <cp:lastModifiedBy>海冰</cp:lastModifiedBy>
  <cp:lastPrinted>2021-12-10T01:45:00Z</cp:lastPrinted>
  <dcterms:modified xsi:type="dcterms:W3CDTF">2021-12-22T07:49:13Z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685962430093478497CEB350CEA8AA9A</vt:lpwstr>
  </property>
</Properties>
</file>