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四平市第一人民医院脉动真空灭菌器比选招标公告</w:t>
      </w:r>
    </w:p>
    <w:p>
      <w:pPr>
        <w:rPr>
          <w:rFonts w:hint="eastAsia"/>
          <w:lang w:eastAsia="zh-CN"/>
        </w:rPr>
      </w:pPr>
    </w:p>
    <w:p>
      <w:pPr>
        <w:numPr>
          <w:ilvl w:val="0"/>
          <w:numId w:val="1"/>
        </w:numPr>
        <w:rPr>
          <w:rFonts w:hint="default"/>
          <w:b/>
          <w:bCs/>
          <w:sz w:val="24"/>
          <w:szCs w:val="32"/>
          <w:lang w:val="en-US" w:eastAsia="zh-CN"/>
        </w:rPr>
      </w:pPr>
      <w:r>
        <w:rPr>
          <w:rFonts w:hint="eastAsia"/>
          <w:b/>
          <w:bCs/>
          <w:sz w:val="24"/>
          <w:szCs w:val="32"/>
          <w:lang w:eastAsia="zh-CN"/>
        </w:rPr>
        <w:t>项目概况</w:t>
      </w:r>
    </w:p>
    <w:p>
      <w:pPr>
        <w:numPr>
          <w:ilvl w:val="0"/>
          <w:numId w:val="0"/>
        </w:numPr>
        <w:ind w:firstLine="420"/>
        <w:jc w:val="left"/>
        <w:rPr>
          <w:rFonts w:hint="eastAsia"/>
          <w:lang w:val="en-US" w:eastAsia="zh-CN"/>
        </w:rPr>
      </w:pPr>
      <w:r>
        <w:rPr>
          <w:rFonts w:hint="eastAsia"/>
          <w:lang w:val="en-US" w:eastAsia="zh-CN"/>
        </w:rPr>
        <w:t>四平市第一人民医院脉动真空灭菌器公开比选招标采购项目。</w:t>
      </w:r>
    </w:p>
    <w:p>
      <w:pPr>
        <w:numPr>
          <w:ilvl w:val="0"/>
          <w:numId w:val="1"/>
        </w:numPr>
        <w:ind w:left="0" w:leftChars="0" w:firstLine="0" w:firstLineChars="0"/>
        <w:jc w:val="left"/>
        <w:rPr>
          <w:rFonts w:hint="eastAsia"/>
          <w:b/>
          <w:bCs/>
          <w:sz w:val="24"/>
          <w:szCs w:val="32"/>
          <w:lang w:val="en-US" w:eastAsia="zh-CN"/>
        </w:rPr>
      </w:pPr>
      <w:r>
        <w:rPr>
          <w:rFonts w:hint="eastAsia"/>
          <w:b/>
          <w:bCs/>
          <w:sz w:val="24"/>
          <w:szCs w:val="32"/>
          <w:lang w:val="en-US" w:eastAsia="zh-CN"/>
        </w:rPr>
        <w:t>项目基本情况与</w:t>
      </w:r>
      <w:r>
        <w:rPr>
          <w:rFonts w:hint="eastAsia"/>
          <w:b/>
          <w:bCs/>
          <w:lang w:val="en-US" w:eastAsia="zh-CN"/>
        </w:rPr>
        <w:t>供应商参与比选须知:</w:t>
      </w:r>
    </w:p>
    <w:p>
      <w:pPr>
        <w:numPr>
          <w:ilvl w:val="0"/>
          <w:numId w:val="2"/>
        </w:numPr>
        <w:ind w:left="420" w:leftChars="0" w:firstLine="0" w:firstLineChars="0"/>
        <w:jc w:val="left"/>
        <w:rPr>
          <w:rFonts w:hint="eastAsia"/>
          <w:lang w:val="en-US" w:eastAsia="zh-CN"/>
        </w:rPr>
      </w:pPr>
      <w:r>
        <w:rPr>
          <w:rFonts w:hint="eastAsia"/>
          <w:i w:val="0"/>
          <w:iCs w:val="0"/>
          <w:lang w:val="en-US" w:eastAsia="zh-CN"/>
        </w:rPr>
        <w:t>项目编号</w:t>
      </w:r>
      <w:r>
        <w:rPr>
          <w:rFonts w:hint="eastAsia"/>
          <w:lang w:val="en-US" w:eastAsia="zh-CN"/>
        </w:rPr>
        <w:t>：spdyyy-20210705-2</w:t>
      </w:r>
    </w:p>
    <w:p>
      <w:pPr>
        <w:numPr>
          <w:ilvl w:val="0"/>
          <w:numId w:val="2"/>
        </w:numPr>
        <w:ind w:left="420" w:leftChars="0" w:firstLine="0" w:firstLineChars="0"/>
        <w:jc w:val="left"/>
        <w:rPr>
          <w:rFonts w:hint="default"/>
          <w:lang w:val="en-US" w:eastAsia="zh-CN"/>
        </w:rPr>
      </w:pPr>
      <w:r>
        <w:rPr>
          <w:rFonts w:hint="eastAsia"/>
          <w:lang w:val="en-US" w:eastAsia="zh-CN"/>
        </w:rPr>
        <w:t>项目名称：</w:t>
      </w:r>
      <w:r>
        <w:rPr>
          <w:rFonts w:hint="eastAsia"/>
          <w:lang w:eastAsia="zh-CN"/>
        </w:rPr>
        <w:t>四平市第一人民医院脉动真空灭菌器比选招标采购项目</w:t>
      </w:r>
    </w:p>
    <w:p>
      <w:pPr>
        <w:numPr>
          <w:ilvl w:val="0"/>
          <w:numId w:val="2"/>
        </w:numPr>
        <w:ind w:left="420" w:leftChars="0" w:firstLine="0" w:firstLineChars="0"/>
        <w:jc w:val="left"/>
        <w:rPr>
          <w:rFonts w:hint="default"/>
          <w:lang w:val="en-US" w:eastAsia="zh-CN"/>
        </w:rPr>
      </w:pPr>
      <w:r>
        <w:rPr>
          <w:rFonts w:hint="eastAsia"/>
          <w:lang w:eastAsia="zh-CN"/>
        </w:rPr>
        <w:t>采购方式：院内比选招标</w:t>
      </w:r>
    </w:p>
    <w:p>
      <w:pPr>
        <w:numPr>
          <w:ilvl w:val="0"/>
          <w:numId w:val="2"/>
        </w:numPr>
        <w:ind w:left="420" w:leftChars="0" w:firstLine="0" w:firstLineChars="0"/>
        <w:jc w:val="left"/>
        <w:rPr>
          <w:rFonts w:hint="default"/>
          <w:lang w:val="en-US" w:eastAsia="zh-CN"/>
        </w:rPr>
      </w:pPr>
      <w:r>
        <w:rPr>
          <w:rFonts w:hint="eastAsia"/>
          <w:lang w:eastAsia="zh-CN"/>
        </w:rPr>
        <w:t>公示期限：自发布公告起</w:t>
      </w:r>
      <w:r>
        <w:rPr>
          <w:rFonts w:hint="eastAsia"/>
          <w:lang w:val="en-US" w:eastAsia="zh-CN"/>
        </w:rPr>
        <w:t>5日内</w:t>
      </w:r>
    </w:p>
    <w:p>
      <w:pPr>
        <w:numPr>
          <w:ilvl w:val="0"/>
          <w:numId w:val="2"/>
        </w:numPr>
        <w:ind w:left="420" w:leftChars="0" w:firstLine="0" w:firstLineChars="0"/>
        <w:jc w:val="left"/>
        <w:rPr>
          <w:rFonts w:hint="default"/>
          <w:lang w:val="en-US" w:eastAsia="zh-CN"/>
        </w:rPr>
      </w:pPr>
      <w:r>
        <w:rPr>
          <w:rFonts w:hint="eastAsia"/>
          <w:lang w:val="en-US" w:eastAsia="zh-CN"/>
        </w:rPr>
        <w:t>合同履行期限：成交供应商按中标通知书规定时间与采购人签订合同，并于签订合同后30工作日内供货及完成安装调试。</w:t>
      </w:r>
    </w:p>
    <w:p>
      <w:pPr>
        <w:numPr>
          <w:ilvl w:val="0"/>
          <w:numId w:val="2"/>
        </w:numPr>
        <w:ind w:left="420" w:leftChars="0" w:firstLine="0" w:firstLineChars="0"/>
        <w:jc w:val="left"/>
        <w:rPr>
          <w:rFonts w:hint="default"/>
          <w:lang w:val="en-US" w:eastAsia="zh-CN"/>
        </w:rPr>
      </w:pPr>
      <w:r>
        <w:rPr>
          <w:rFonts w:hint="eastAsia"/>
          <w:lang w:val="en-US" w:eastAsia="zh-CN"/>
        </w:rPr>
        <w:t>本项目不接受联合体投标</w:t>
      </w:r>
    </w:p>
    <w:p>
      <w:pPr>
        <w:numPr>
          <w:ilvl w:val="0"/>
          <w:numId w:val="2"/>
        </w:numPr>
        <w:ind w:left="420" w:leftChars="0" w:firstLine="0" w:firstLineChars="0"/>
        <w:jc w:val="left"/>
        <w:rPr>
          <w:rFonts w:hint="default"/>
          <w:lang w:val="en-US" w:eastAsia="zh-CN"/>
        </w:rPr>
      </w:pPr>
      <w:r>
        <w:rPr>
          <w:rFonts w:hint="eastAsia"/>
          <w:lang w:val="en-US" w:eastAsia="zh-CN"/>
        </w:rPr>
        <w:t>供应商</w:t>
      </w:r>
      <w:r>
        <w:rPr>
          <w:rFonts w:hint="default"/>
          <w:lang w:val="en-US" w:eastAsia="zh-CN"/>
        </w:rPr>
        <w:t>应仔细阅读比选采购公告文件的所有内容，按照要求进行投标文件准备；参选单位递交的文件均应编写目录和页码，密封袋上标明单位名称、比选项目名称、联系人、联系电话并加盖公章,密封件封口上应加盖骑缝章；在规定时问内递交院内比选文件至指定地点，比选文件数量为六本(1正本 5副本)。</w:t>
      </w:r>
    </w:p>
    <w:p>
      <w:pPr>
        <w:numPr>
          <w:ilvl w:val="0"/>
          <w:numId w:val="0"/>
        </w:numPr>
        <w:ind w:left="420" w:leftChars="0"/>
        <w:jc w:val="left"/>
        <w:rPr>
          <w:rFonts w:hint="default"/>
          <w:lang w:val="en-US" w:eastAsia="zh-CN"/>
        </w:rPr>
      </w:pPr>
    </w:p>
    <w:p>
      <w:pPr>
        <w:numPr>
          <w:ilvl w:val="0"/>
          <w:numId w:val="1"/>
        </w:numPr>
        <w:ind w:left="0" w:leftChars="0" w:firstLine="0" w:firstLineChars="0"/>
        <w:jc w:val="left"/>
        <w:rPr>
          <w:rFonts w:hint="eastAsia"/>
          <w:b/>
          <w:bCs/>
          <w:sz w:val="24"/>
          <w:szCs w:val="32"/>
          <w:lang w:val="en-US" w:eastAsia="zh-CN"/>
        </w:rPr>
      </w:pPr>
      <w:r>
        <w:rPr>
          <w:rFonts w:hint="eastAsia"/>
          <w:b/>
          <w:bCs/>
          <w:sz w:val="24"/>
          <w:szCs w:val="32"/>
          <w:lang w:val="en-US" w:eastAsia="zh-CN"/>
        </w:rPr>
        <w:t>项目技术需求及商务需求</w:t>
      </w:r>
    </w:p>
    <w:p>
      <w:pPr>
        <w:keepNext w:val="0"/>
        <w:keepLines w:val="0"/>
        <w:widowControl/>
        <w:suppressLineNumbers w:val="0"/>
        <w:ind w:firstLine="420" w:firstLineChars="200"/>
        <w:jc w:val="left"/>
        <w:rPr>
          <w:rFonts w:hint="eastAsia" w:ascii="宋体" w:hAnsi="宋体" w:eastAsia="宋体" w:cs="Calibri"/>
          <w:kern w:val="2"/>
          <w:sz w:val="21"/>
          <w:szCs w:val="21"/>
          <w:lang w:val="en-US" w:eastAsia="zh-CN" w:bidi="nl-NL"/>
        </w:rPr>
      </w:pPr>
      <w:r>
        <w:rPr>
          <w:rFonts w:hint="eastAsia"/>
          <w:sz w:val="21"/>
          <w:szCs w:val="21"/>
          <w:lang w:val="en-US" w:eastAsia="zh-CN"/>
        </w:rPr>
        <w:t>3.1</w:t>
      </w:r>
      <w:r>
        <w:rPr>
          <w:rFonts w:hint="eastAsia" w:ascii="宋体" w:hAnsi="宋体" w:eastAsia="宋体" w:cs="Calibri"/>
          <w:kern w:val="2"/>
          <w:sz w:val="21"/>
          <w:szCs w:val="21"/>
          <w:lang w:val="en-US" w:eastAsia="zh-CN" w:bidi="nl-NL"/>
        </w:rPr>
        <w:t>项目技术需求</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脉动真空灭菌器   数量   1台</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用于诊疗器械、器具和物品的灭菌、干燥。</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★容积：≥1200L。</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★使用寿命：≥10年</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★主体结构：环形加强筋结构，设备内腔强度和稳定性更高。环形加强筋个数≥4个，增加使用寿命，进汽均匀。</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焊接工艺：机器人焊接，证焊缝质量，提供施工现场照片。</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★材质:内室+夹层304不锈钢材质。</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设计温度：≥140℃。</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门数量：机动门，双门。</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门结构：电机齿轮链条驱动门板上下移动，侧开门。</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门胶圈：圆形门胶圈，使用寿命长。</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管路材质：不锈钢材质，更加环保。</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阀：优质气动阀和电磁阀，气动阀保证≥300万次无故障运行.</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压变：优质品牌，响应时间＜5ms</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蒸汽源：外接蒸汽源</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换热装置：采用板式换热效率高，使用寿命长。</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水回收装置：带有换热器冷凝水回收系统。</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控制系统：抗干扰性强，≥7.5寸真彩触摸屏。</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抽空系统:标准程序运行设备可抽空-90KPa以下，保证灭菌性能，提供运行程序打印记录。</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记录方式：内置热敏打印机，灭菌过程的温度、压力、时间可进行打印。</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程序运行时间：标准循环:≦56分钟。</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程序种类及数量：灭菌类程序：≥25套</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提供特种设备设计制造许可证</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提供灭菌效果检测报告</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为保障售后服务，省内有10名以上厂家人员服务。1小时响应，4小时到位。</w:t>
      </w:r>
    </w:p>
    <w:p>
      <w:pPr>
        <w:numPr>
          <w:ilvl w:val="0"/>
          <w:numId w:val="0"/>
        </w:numPr>
        <w:ind w:leftChars="0" w:firstLine="420"/>
        <w:jc w:val="left"/>
        <w:rPr>
          <w:rFonts w:hint="eastAsia" w:ascii="宋体" w:hAnsi="Calibri" w:eastAsia="宋体" w:cs="Calibri"/>
          <w:kern w:val="2"/>
          <w:sz w:val="21"/>
          <w:szCs w:val="21"/>
          <w:lang w:val="en-US" w:eastAsia="zh-CN" w:bidi="nl-NL"/>
        </w:rPr>
      </w:pPr>
    </w:p>
    <w:p>
      <w:pPr>
        <w:numPr>
          <w:ilvl w:val="0"/>
          <w:numId w:val="0"/>
        </w:numPr>
        <w:ind w:leftChars="0" w:firstLine="420"/>
        <w:jc w:val="left"/>
        <w:rPr>
          <w:rFonts w:hint="eastAsia" w:ascii="宋体" w:hAnsi="Calibri" w:eastAsia="宋体" w:cs="Calibri"/>
          <w:kern w:val="2"/>
          <w:sz w:val="24"/>
          <w:szCs w:val="24"/>
          <w:lang w:val="en-US" w:eastAsia="zh-CN" w:bidi="nl-NL"/>
        </w:rPr>
      </w:pPr>
    </w:p>
    <w:p>
      <w:pPr>
        <w:numPr>
          <w:ilvl w:val="0"/>
          <w:numId w:val="0"/>
        </w:numPr>
        <w:ind w:leftChars="0" w:firstLine="420"/>
        <w:jc w:val="left"/>
        <w:rPr>
          <w:rFonts w:hint="default" w:ascii="宋体" w:hAnsi="Calibri" w:eastAsia="宋体" w:cs="Calibri"/>
          <w:kern w:val="2"/>
          <w:sz w:val="24"/>
          <w:szCs w:val="24"/>
          <w:lang w:val="en-US" w:eastAsia="zh-CN" w:bidi="nl-NL"/>
        </w:rPr>
      </w:pPr>
      <w:r>
        <w:rPr>
          <w:rFonts w:hint="eastAsia" w:ascii="宋体" w:hAnsi="Calibri" w:eastAsia="宋体" w:cs="Calibri"/>
          <w:kern w:val="2"/>
          <w:sz w:val="24"/>
          <w:szCs w:val="24"/>
          <w:lang w:val="en-US" w:eastAsia="zh-CN" w:bidi="nl-NL"/>
        </w:rPr>
        <w:t>3.2货物商务比选要求</w:t>
      </w:r>
    </w:p>
    <w:tbl>
      <w:tblPr>
        <w:tblStyle w:val="3"/>
        <w:tblW w:w="85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.1安装和调试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收到医院主机设备安装通知后，7日内全新设备与安装人员进场安装调试，工期</w:t>
            </w:r>
            <w:r>
              <w:rPr>
                <w:rFonts w:hint="eastAsia" w:ascii="宋体" w:eastAsia="宋体" w:cs="Calibri"/>
                <w:sz w:val="21"/>
                <w:szCs w:val="21"/>
                <w:lang w:val="en-US" w:eastAsia="zh-CN"/>
              </w:rPr>
              <w:t>3</w:t>
            </w:r>
            <w:r>
              <w:rPr>
                <w:rFonts w:hint="eastAsia" w:ascii="宋体" w:hAnsi="Calibri" w:eastAsia="宋体" w:cs="Calibri"/>
                <w:sz w:val="21"/>
                <w:szCs w:val="21"/>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.2培训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根据新设备特点及技术要求，应提供现场技术培训，保证使用人员正常操作设备的各种功能，并能解决简单的常见问题及故障、达到合格使用该设备之要求。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.3验收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6.1按比选文件要求，依据国家行业标准进行验收。产品质量须达到设计要求，安装调试各项指标符合技术参数；计量设备应能通过计量部门的验收。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6.2验收需提供详细的操作和维护手册（包括：设备使用手册、随机操作规程卡、日常维护保养规程卡、维修手册、设备电路图、设备结构图、设备故障代码表等），合格证及其它设备所用备品配件；且设备免费开放密码、设备免费软件升级、免费开放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.4质保期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设备终验收单签署之日起开始计算，在正常操作情况下，投标人必须对合同设备整机及器械的正常使用给予至少</w:t>
            </w:r>
            <w:r>
              <w:rPr>
                <w:rFonts w:hint="eastAsia" w:ascii="宋体" w:eastAsia="宋体" w:cs="Calibri"/>
                <w:sz w:val="21"/>
                <w:szCs w:val="21"/>
                <w:lang w:val="en-US" w:eastAsia="zh-CN"/>
              </w:rPr>
              <w:t>1</w:t>
            </w:r>
            <w:r>
              <w:rPr>
                <w:rFonts w:hint="eastAsia" w:ascii="宋体" w:hAnsi="Calibri" w:eastAsia="宋体" w:cs="Calibri"/>
                <w:sz w:val="21"/>
                <w:szCs w:val="21"/>
                <w:lang w:val="en-US" w:eastAsia="zh-CN"/>
              </w:rPr>
              <w:t>年或以上的质量保质期，终身维修；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全年设备无故障运行率应达 98％以上，低于 98%—90%之间保修期限按 1：3 延长；低于 89％－80％之间保修期限按 1：5 延长；全年设备无故障运行率低于 80％时，予以退货处理；卖方在一周内将货款退回；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.5售后服务承诺和保修条款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保修期内提供每年不少于2次的定期上门维护保养；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卖方接到用户报修后须立即电话响应处理，电话指导不能解决的原厂专业工程师须24小时内到现场，24小时内排除故障；在质量保证期内，凡因正常使用出现的质量问题，供货商应提供免费维修或更换。在厂家(供货商维修服务中心)维修时，供货商应支付设备或组件的包装和运费。对更换或修复的零部件从更换或修复之日起重新计算质量保证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质保期过后厂家免费维修，不换配件不收费,终身免费升级软件版本；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卖方提供易损配件与耗材价格清单，卖方须以最优惠价格满足买方对该设备耗材的需求，并遵循先维修设备使之正常工作，后付各种款项的原则；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.6报价要求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报价必须包括：产品费、验收费、手续费、包装费、运输费、保险费、安装费、调试费、培训费、招标代理费、税金等全部费用；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.7付款方式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签订合同后三日内买方向卖方支付合同价30%的预付款，设备到货、安装、调试、验收完成后三十日内付合同款的 65%，留余款 5%为质保金（十二个月后无质量问题后十日内无息支付）；</w:t>
            </w:r>
          </w:p>
        </w:tc>
      </w:tr>
    </w:tbl>
    <w:p>
      <w:pPr>
        <w:numPr>
          <w:ilvl w:val="0"/>
          <w:numId w:val="0"/>
        </w:numPr>
        <w:ind w:leftChars="0"/>
        <w:rPr>
          <w:rFonts w:hint="eastAsia"/>
          <w:b/>
          <w:bCs/>
          <w:lang w:val="en-US" w:eastAsia="zh-CN"/>
        </w:rPr>
      </w:pPr>
    </w:p>
    <w:p>
      <w:pPr>
        <w:numPr>
          <w:ilvl w:val="0"/>
          <w:numId w:val="1"/>
        </w:numPr>
        <w:ind w:left="0" w:leftChars="0" w:firstLine="0" w:firstLineChars="0"/>
        <w:jc w:val="left"/>
        <w:rPr>
          <w:rFonts w:hint="eastAsia"/>
          <w:b/>
          <w:bCs/>
          <w:sz w:val="24"/>
          <w:szCs w:val="32"/>
          <w:lang w:val="en-US" w:eastAsia="zh-CN"/>
        </w:rPr>
      </w:pPr>
      <w:r>
        <w:rPr>
          <w:rFonts w:hint="eastAsia"/>
          <w:b/>
          <w:bCs/>
          <w:sz w:val="24"/>
          <w:szCs w:val="32"/>
          <w:lang w:val="en-US" w:eastAsia="zh-CN"/>
        </w:rPr>
        <w:t>比选文件内容要求：</w:t>
      </w:r>
    </w:p>
    <w:p>
      <w:pPr>
        <w:numPr>
          <w:ilvl w:val="0"/>
          <w:numId w:val="0"/>
        </w:numPr>
        <w:ind w:leftChars="0" w:firstLine="480" w:firstLineChars="200"/>
        <w:rPr>
          <w:rFonts w:hint="eastAsia" w:ascii="宋体" w:hAnsi="Calibri" w:eastAsia="宋体" w:cs="Calibri"/>
          <w:kern w:val="2"/>
          <w:sz w:val="24"/>
          <w:szCs w:val="24"/>
          <w:lang w:val="en-US" w:eastAsia="zh-CN" w:bidi="nl-NL"/>
        </w:rPr>
      </w:pPr>
    </w:p>
    <w:p>
      <w:pPr>
        <w:numPr>
          <w:ilvl w:val="0"/>
          <w:numId w:val="0"/>
        </w:numPr>
        <w:ind w:leftChars="0"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4.1资质文件要求：</w:t>
      </w:r>
    </w:p>
    <w:p>
      <w:pPr>
        <w:numPr>
          <w:ilvl w:val="0"/>
          <w:numId w:val="0"/>
        </w:numPr>
        <w:ind w:leftChars="0"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4.1.1提供营业执照、税务登记证、组织机构代码证副本或具有统一社会信用代码的营业执照副本；</w:t>
      </w:r>
    </w:p>
    <w:p>
      <w:pPr>
        <w:numPr>
          <w:ilvl w:val="0"/>
          <w:numId w:val="0"/>
        </w:numPr>
        <w:ind w:leftChars="0"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4.1.2提供附有法定代表人身份证复印件的法人授权函，被授权人身份证（非法定代表人参与投标时提供）；</w:t>
      </w:r>
    </w:p>
    <w:p>
      <w:pPr>
        <w:numPr>
          <w:ilvl w:val="0"/>
          <w:numId w:val="0"/>
        </w:numPr>
        <w:ind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4.1.3食品药品监督管理部门颁发的医疗器械产品注册或备案证明；授权委托书与相关人员身份证扫描件；</w:t>
      </w:r>
    </w:p>
    <w:p>
      <w:pPr>
        <w:numPr>
          <w:ilvl w:val="0"/>
          <w:numId w:val="0"/>
        </w:numPr>
        <w:ind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4.1.4参加本项目前 3 年内在经营活动中没有重大违法记录的证明文件或书面承诺声明；食品药品监督管理部门颁发的医疗器械经营（生产）许可证明；</w:t>
      </w:r>
    </w:p>
    <w:p>
      <w:pPr>
        <w:numPr>
          <w:ilvl w:val="0"/>
          <w:numId w:val="0"/>
        </w:numPr>
        <w:ind w:leftChars="0"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4.1.5提供供应商售后服务承诺函，含售后服务体系：主要包括质保期内维护保养措施、质保期外的服务承诺、服务人员的科学合理配备，供应商在设备的交货、安装、调试及项目实施方案和计划、保修期； 近三年同类项目业绩；</w:t>
      </w:r>
    </w:p>
    <w:p>
      <w:pPr>
        <w:numPr>
          <w:ilvl w:val="0"/>
          <w:numId w:val="0"/>
        </w:numPr>
        <w:ind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以上需提供复印件加盖鲜章确认，另标注 “与原件一致”字样或加盖“与原件一致”条章。</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4.1.6技术规格偏离表</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内容要求：供应商须针对比选文件第三章技术需求的内容逐个全部作出实质性的响应，进行详细描述。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14"/>
        <w:gridCol w:w="1958"/>
        <w:gridCol w:w="1983"/>
        <w:gridCol w:w="2019"/>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806" w:type="dxa"/>
            <w:tcBorders>
              <w:top w:val="single" w:color="auto" w:sz="4" w:space="0"/>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序号</w:t>
            </w:r>
          </w:p>
        </w:tc>
        <w:tc>
          <w:tcPr>
            <w:tcW w:w="1514"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技术需求项目</w:t>
            </w:r>
          </w:p>
        </w:tc>
        <w:tc>
          <w:tcPr>
            <w:tcW w:w="1958"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比选磋商文件要求</w:t>
            </w:r>
          </w:p>
        </w:tc>
        <w:tc>
          <w:tcPr>
            <w:tcW w:w="1983"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技术响应（详细技术参数与规格）</w:t>
            </w:r>
          </w:p>
        </w:tc>
        <w:tc>
          <w:tcPr>
            <w:tcW w:w="2019"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偏离情况详细说明</w:t>
            </w:r>
          </w:p>
        </w:tc>
        <w:tc>
          <w:tcPr>
            <w:tcW w:w="818"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tcBorders>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1</w:t>
            </w:r>
          </w:p>
        </w:tc>
        <w:tc>
          <w:tcPr>
            <w:tcW w:w="1514" w:type="dxa"/>
            <w:tcBorders>
              <w:top w:val="single" w:color="auto" w:sz="4" w:space="0"/>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tcBorders>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2</w:t>
            </w:r>
          </w:p>
        </w:tc>
        <w:tc>
          <w:tcPr>
            <w:tcW w:w="1514" w:type="dxa"/>
            <w:tcBorders>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tcBorders>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3</w:t>
            </w:r>
          </w:p>
        </w:tc>
        <w:tc>
          <w:tcPr>
            <w:tcW w:w="1514" w:type="dxa"/>
            <w:tcBorders>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r>
    </w:tbl>
    <w:p>
      <w:pPr>
        <w:numPr>
          <w:ilvl w:val="0"/>
          <w:numId w:val="0"/>
        </w:numPr>
        <w:ind w:leftChars="0" w:firstLine="420"/>
        <w:jc w:val="left"/>
        <w:rPr>
          <w:rFonts w:hint="eastAsia" w:ascii="宋体" w:hAnsi="Calibri" w:eastAsia="宋体" w:cs="Calibri"/>
          <w:kern w:val="2"/>
          <w:sz w:val="21"/>
          <w:szCs w:val="21"/>
          <w:lang w:val="en-US" w:eastAsia="zh-CN" w:bidi="nl-NL"/>
        </w:rPr>
      </w:pP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注：请各供应商参照比选磋商文件严格按以下要求认真填写偏离表：</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1、供应商应根据货物的实际规格，并对照磋商文件要求，对确实存在规格要求与磋商文件要求有偏离的情况，应真实、认真的填写本表。供应商因任何原因漏写或缺项或填写不正确的，后果由供应商自行承担。</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2、供应商真实填写本表，并对其真实性负责。</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3、不允许存在实质性负偏离。非实质性负偏离超过5项的，响应文件无效；（磋商文件中“★”条款为实质性条款）</w:t>
      </w:r>
    </w:p>
    <w:p>
      <w:pPr>
        <w:numPr>
          <w:ilvl w:val="0"/>
          <w:numId w:val="0"/>
        </w:numPr>
        <w:ind w:leftChars="0" w:firstLine="420"/>
        <w:jc w:val="left"/>
        <w:rPr>
          <w:rFonts w:hint="eastAsia" w:ascii="宋体" w:hAnsi="Calibri" w:eastAsia="宋体" w:cs="Calibri"/>
          <w:kern w:val="2"/>
          <w:sz w:val="21"/>
          <w:szCs w:val="21"/>
          <w:lang w:val="en-US" w:eastAsia="zh-CN" w:bidi="nl-NL"/>
        </w:rPr>
      </w:pPr>
    </w:p>
    <w:p>
      <w:pPr>
        <w:numPr>
          <w:ilvl w:val="0"/>
          <w:numId w:val="0"/>
        </w:numPr>
        <w:ind w:leftChars="0" w:firstLine="420"/>
        <w:jc w:val="left"/>
        <w:rPr>
          <w:rFonts w:hint="eastAsia" w:ascii="宋体" w:hAnsi="Calibri" w:eastAsia="宋体" w:cs="Calibri"/>
          <w:kern w:val="2"/>
          <w:sz w:val="21"/>
          <w:szCs w:val="21"/>
          <w:lang w:val="en-US" w:eastAsia="zh-CN" w:bidi="nl-NL"/>
        </w:rPr>
      </w:pP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 xml:space="preserve">                                           供应商盖章：            </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 xml:space="preserve">                                           日      期：            </w:t>
      </w:r>
    </w:p>
    <w:p>
      <w:pPr>
        <w:numPr>
          <w:ilvl w:val="0"/>
          <w:numId w:val="0"/>
        </w:numPr>
        <w:ind w:leftChars="0" w:firstLine="420"/>
        <w:jc w:val="left"/>
        <w:rPr>
          <w:rFonts w:hint="default"/>
          <w:lang w:val="en-US" w:eastAsia="zh-CN"/>
        </w:rPr>
      </w:pPr>
    </w:p>
    <w:p>
      <w:pPr>
        <w:pStyle w:val="2"/>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4.1.</w:t>
      </w:r>
      <w:r>
        <w:rPr>
          <w:rFonts w:hint="eastAsia" w:asciiTheme="minorEastAsia" w:hAnsiTheme="minorEastAsia" w:cstheme="minorEastAsia"/>
          <w:i w:val="0"/>
          <w:color w:val="000000"/>
          <w:kern w:val="0"/>
          <w:sz w:val="24"/>
          <w:szCs w:val="24"/>
          <w:u w:val="none"/>
          <w:lang w:val="en-US" w:eastAsia="zh-CN" w:bidi="ar"/>
        </w:rPr>
        <w:t>7</w:t>
      </w:r>
      <w:r>
        <w:rPr>
          <w:rFonts w:hint="eastAsia" w:asciiTheme="minorEastAsia" w:hAnsiTheme="minorEastAsia" w:eastAsiaTheme="minorEastAsia" w:cstheme="minorEastAsia"/>
          <w:b/>
          <w:bCs/>
          <w:i w:val="0"/>
          <w:color w:val="000000"/>
          <w:kern w:val="0"/>
          <w:sz w:val="24"/>
          <w:szCs w:val="24"/>
          <w:u w:val="none"/>
          <w:lang w:val="en-US" w:eastAsia="zh-CN" w:bidi="ar"/>
        </w:rPr>
        <w:t>投标产品详细配置清单</w:t>
      </w:r>
    </w:p>
    <w:p>
      <w:pPr>
        <w:numPr>
          <w:ilvl w:val="0"/>
          <w:numId w:val="0"/>
        </w:numPr>
        <w:rPr>
          <w:rFonts w:hint="eastAsia"/>
          <w:lang w:val="en-US" w:eastAsia="zh-CN"/>
        </w:rPr>
      </w:pPr>
    </w:p>
    <w:tbl>
      <w:tblPr>
        <w:tblStyle w:val="3"/>
        <w:tblpPr w:leftFromText="180" w:rightFromText="180" w:vertAnchor="text" w:horzAnchor="page" w:tblpXSpec="center" w:tblpY="20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347"/>
        <w:gridCol w:w="1238"/>
        <w:gridCol w:w="1238"/>
        <w:gridCol w:w="1238"/>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jc w:val="center"/>
              <w:rPr>
                <w:rFonts w:hint="eastAsia"/>
                <w:lang w:val="en-US" w:eastAsia="zh-CN"/>
              </w:rPr>
            </w:pPr>
            <w:r>
              <w:rPr>
                <w:rFonts w:hint="eastAsia"/>
                <w:lang w:val="en-US" w:eastAsia="zh-CN"/>
              </w:rPr>
              <w:t>序号</w:t>
            </w:r>
          </w:p>
        </w:tc>
        <w:tc>
          <w:tcPr>
            <w:tcW w:w="1347" w:type="dxa"/>
            <w:noWrap w:val="0"/>
            <w:vAlign w:val="center"/>
          </w:tcPr>
          <w:p>
            <w:pPr>
              <w:numPr>
                <w:ilvl w:val="0"/>
                <w:numId w:val="0"/>
              </w:numPr>
              <w:jc w:val="center"/>
              <w:rPr>
                <w:rFonts w:hint="eastAsia"/>
                <w:lang w:val="en-US" w:eastAsia="zh-CN"/>
              </w:rPr>
            </w:pPr>
            <w:r>
              <w:rPr>
                <w:rFonts w:hint="eastAsia"/>
                <w:lang w:val="en-US" w:eastAsia="zh-CN"/>
              </w:rPr>
              <w:t>部件名称</w:t>
            </w:r>
          </w:p>
        </w:tc>
        <w:tc>
          <w:tcPr>
            <w:tcW w:w="1238" w:type="dxa"/>
            <w:noWrap w:val="0"/>
            <w:vAlign w:val="center"/>
          </w:tcPr>
          <w:p>
            <w:pPr>
              <w:numPr>
                <w:ilvl w:val="0"/>
                <w:numId w:val="0"/>
              </w:numPr>
              <w:jc w:val="center"/>
              <w:rPr>
                <w:rFonts w:hint="eastAsia" w:eastAsia="宋体"/>
                <w:lang w:val="en-US" w:eastAsia="zh-CN"/>
              </w:rPr>
            </w:pPr>
            <w:r>
              <w:rPr>
                <w:rFonts w:hint="eastAsia"/>
                <w:lang w:val="en-US" w:eastAsia="zh-CN"/>
              </w:rPr>
              <w:t>品牌</w:t>
            </w:r>
          </w:p>
        </w:tc>
        <w:tc>
          <w:tcPr>
            <w:tcW w:w="1238" w:type="dxa"/>
            <w:noWrap w:val="0"/>
            <w:vAlign w:val="center"/>
          </w:tcPr>
          <w:p>
            <w:pPr>
              <w:numPr>
                <w:ilvl w:val="0"/>
                <w:numId w:val="0"/>
              </w:numPr>
              <w:jc w:val="center"/>
              <w:rPr>
                <w:rFonts w:hint="eastAsia"/>
                <w:lang w:val="en-US" w:eastAsia="zh-CN"/>
              </w:rPr>
            </w:pPr>
            <w:r>
              <w:rPr>
                <w:rFonts w:hint="eastAsia"/>
                <w:lang w:val="en-US" w:eastAsia="zh-CN"/>
              </w:rPr>
              <w:t>产地</w:t>
            </w:r>
          </w:p>
        </w:tc>
        <w:tc>
          <w:tcPr>
            <w:tcW w:w="1238" w:type="dxa"/>
            <w:noWrap w:val="0"/>
            <w:vAlign w:val="center"/>
          </w:tcPr>
          <w:p>
            <w:pPr>
              <w:numPr>
                <w:ilvl w:val="0"/>
                <w:numId w:val="0"/>
              </w:numPr>
              <w:jc w:val="center"/>
              <w:rPr>
                <w:rFonts w:hint="eastAsia"/>
                <w:lang w:val="en-US" w:eastAsia="zh-CN"/>
              </w:rPr>
            </w:pPr>
            <w:r>
              <w:rPr>
                <w:rFonts w:hint="eastAsia"/>
                <w:lang w:val="en-US" w:eastAsia="zh-CN"/>
              </w:rPr>
              <w:t>规格型号</w:t>
            </w:r>
          </w:p>
        </w:tc>
        <w:tc>
          <w:tcPr>
            <w:tcW w:w="3414" w:type="dxa"/>
            <w:noWrap w:val="0"/>
            <w:vAlign w:val="center"/>
          </w:tcPr>
          <w:p>
            <w:pPr>
              <w:numPr>
                <w:ilvl w:val="0"/>
                <w:numId w:val="0"/>
              </w:numPr>
              <w:jc w:val="center"/>
              <w:rPr>
                <w:rFonts w:hint="eastAsia"/>
                <w:lang w:val="en-US" w:eastAsia="zh-CN"/>
              </w:rPr>
            </w:pPr>
            <w:r>
              <w:rPr>
                <w:rFonts w:hint="eastAsia"/>
                <w:lang w:val="en-US" w:eastAsia="zh-CN"/>
              </w:rPr>
              <w:t>详细配置及技术参数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1</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2</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3</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注：1.设备配置全部基本部件均须标明品牌、型号、详细配置与参数、原产地及制造商，否则将作为非实质性响应投标予以拒绝。</w:t>
      </w:r>
    </w:p>
    <w:p>
      <w:pPr>
        <w:numPr>
          <w:ilvl w:val="0"/>
          <w:numId w:val="0"/>
        </w:numPr>
        <w:ind w:firstLine="420" w:firstLineChars="200"/>
        <w:rPr>
          <w:rFonts w:hint="eastAsia"/>
          <w:lang w:val="en-US" w:eastAsia="zh-CN"/>
        </w:rPr>
      </w:pPr>
      <w:r>
        <w:rPr>
          <w:rFonts w:hint="eastAsia"/>
          <w:lang w:val="en-US" w:eastAsia="zh-CN"/>
        </w:rPr>
        <w:t>2.此表可根据需要可格式扩展</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990" w:firstLineChars="1900"/>
        <w:textAlignment w:val="auto"/>
        <w:rPr>
          <w:rFonts w:hint="eastAsia"/>
          <w:u w:val="single"/>
          <w:lang w:val="en-US" w:eastAsia="zh-CN"/>
        </w:rPr>
      </w:pPr>
      <w:r>
        <w:rPr>
          <w:rFonts w:hint="eastAsia"/>
          <w:lang w:val="en-US" w:eastAsia="zh-CN"/>
        </w:rPr>
        <w:t>负责人（或被委托人）签字：</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u w:val="single"/>
          <w:lang w:val="en-US" w:eastAsia="zh-CN"/>
        </w:rPr>
      </w:pPr>
      <w:r>
        <w:rPr>
          <w:rFonts w:hint="eastAsia"/>
          <w:lang w:val="en-US" w:eastAsia="zh-CN"/>
        </w:rPr>
        <w:t xml:space="preserve">                                                    供应商盖章：</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u w:val="single"/>
          <w:lang w:val="en-US" w:eastAsia="zh-CN"/>
        </w:rPr>
      </w:pPr>
      <w:r>
        <w:rPr>
          <w:rFonts w:hint="eastAsia"/>
          <w:lang w:val="en-US" w:eastAsia="zh-CN"/>
        </w:rPr>
        <w:t xml:space="preserve">                                                     日     期：</w:t>
      </w:r>
      <w:r>
        <w:rPr>
          <w:rFonts w:hint="eastAsia"/>
          <w:u w:val="single"/>
          <w:lang w:val="en-US" w:eastAsia="zh-CN"/>
        </w:rPr>
        <w:t xml:space="preserve">            </w:t>
      </w:r>
    </w:p>
    <w:p>
      <w:pPr>
        <w:numPr>
          <w:ilvl w:val="0"/>
          <w:numId w:val="0"/>
        </w:numPr>
        <w:ind w:leftChars="0" w:firstLine="422" w:firstLineChars="200"/>
        <w:rPr>
          <w:rFonts w:hint="eastAsia"/>
          <w:b/>
          <w:bCs/>
          <w:lang w:val="en-US" w:eastAsia="zh-CN"/>
        </w:rPr>
      </w:pPr>
    </w:p>
    <w:p>
      <w:pPr>
        <w:pStyle w:val="2"/>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numPr>
          <w:ilvl w:val="0"/>
          <w:numId w:val="0"/>
        </w:numPr>
        <w:rPr>
          <w:rFonts w:hint="eastAsia" w:asciiTheme="minorEastAsia" w:hAnsi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lang w:val="en-US" w:eastAsia="zh-CN"/>
        </w:rPr>
      </w:pPr>
      <w:r>
        <w:rPr>
          <w:rFonts w:hint="eastAsia" w:asciiTheme="minorEastAsia" w:hAnsiTheme="minorEastAsia" w:cstheme="minorEastAsia"/>
          <w:b w:val="0"/>
          <w:bCs w:val="0"/>
          <w:i w:val="0"/>
          <w:color w:val="000000"/>
          <w:kern w:val="0"/>
          <w:sz w:val="24"/>
          <w:szCs w:val="24"/>
          <w:u w:val="none"/>
          <w:lang w:val="en-US" w:eastAsia="zh-CN" w:bidi="ar"/>
        </w:rPr>
        <w:t>4.1.8</w:t>
      </w:r>
      <w:r>
        <w:rPr>
          <w:rFonts w:hint="eastAsia" w:asciiTheme="minorEastAsia" w:hAnsiTheme="minorEastAsia" w:eastAsiaTheme="minorEastAsia" w:cstheme="minorEastAsia"/>
          <w:b/>
          <w:bCs/>
          <w:i w:val="0"/>
          <w:color w:val="000000"/>
          <w:kern w:val="0"/>
          <w:sz w:val="24"/>
          <w:szCs w:val="24"/>
          <w:u w:val="none"/>
          <w:lang w:val="en-US" w:eastAsia="zh-CN" w:bidi="ar"/>
        </w:rPr>
        <w:t>报价文件格式</w:t>
      </w:r>
    </w:p>
    <w:p>
      <w:pPr>
        <w:numPr>
          <w:ilvl w:val="0"/>
          <w:numId w:val="0"/>
        </w:numPr>
        <w:ind w:firstLine="480" w:firstLineChars="200"/>
        <w:rPr>
          <w:rFonts w:hint="eastAsia" w:ascii="宋体" w:hAnsi="Calibri" w:eastAsia="宋体" w:cs="Calibri"/>
          <w:kern w:val="2"/>
          <w:sz w:val="24"/>
          <w:szCs w:val="24"/>
          <w:lang w:val="en-US" w:eastAsia="zh-CN" w:bidi="nl-NL"/>
        </w:rPr>
      </w:pPr>
      <w:r>
        <w:rPr>
          <w:rFonts w:hint="eastAsia" w:ascii="宋体" w:hAnsi="Calibri" w:eastAsia="宋体" w:cs="Calibri"/>
          <w:kern w:val="2"/>
          <w:sz w:val="24"/>
          <w:szCs w:val="24"/>
          <w:lang w:val="en-US" w:eastAsia="zh-CN" w:bidi="nl-NL"/>
        </w:rPr>
        <w:t xml:space="preserve">项目名称：                             </w:t>
      </w:r>
    </w:p>
    <w:p>
      <w:pPr>
        <w:numPr>
          <w:ilvl w:val="0"/>
          <w:numId w:val="0"/>
        </w:numPr>
        <w:ind w:firstLine="480" w:firstLineChars="200"/>
        <w:rPr>
          <w:rFonts w:hint="eastAsia" w:ascii="宋体" w:hAnsi="Calibri" w:eastAsia="宋体" w:cs="Calibri"/>
          <w:kern w:val="2"/>
          <w:sz w:val="24"/>
          <w:szCs w:val="24"/>
          <w:lang w:val="en-US" w:eastAsia="zh-CN" w:bidi="nl-NL"/>
        </w:rPr>
      </w:pPr>
      <w:r>
        <w:rPr>
          <w:rFonts w:hint="eastAsia" w:ascii="宋体" w:hAnsi="Calibri" w:eastAsia="宋体" w:cs="Calibri"/>
          <w:kern w:val="2"/>
          <w:sz w:val="24"/>
          <w:szCs w:val="24"/>
          <w:lang w:val="en-US" w:eastAsia="zh-CN" w:bidi="nl-NL"/>
        </w:rPr>
        <w:t>采购编号：                              报价金额单位：人民币万元</w:t>
      </w:r>
    </w:p>
    <w:tbl>
      <w:tblPr>
        <w:tblStyle w:val="3"/>
        <w:tblW w:w="10693"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106"/>
        <w:gridCol w:w="1369"/>
        <w:gridCol w:w="2130"/>
        <w:gridCol w:w="1680"/>
        <w:gridCol w:w="4408"/>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386" w:hRule="atLeast"/>
          <w:jc w:val="center"/>
        </w:trPr>
        <w:tc>
          <w:tcPr>
            <w:tcW w:w="2475" w:type="dxa"/>
            <w:gridSpan w:val="2"/>
            <w:tcBorders>
              <w:bottom w:val="single" w:color="000000" w:sz="6" w:space="0"/>
              <w:right w:val="single" w:color="000000" w:sz="6" w:space="0"/>
            </w:tcBorders>
            <w:noWrap w:val="0"/>
            <w:vAlign w:val="center"/>
          </w:tcPr>
          <w:p>
            <w:pPr>
              <w:numPr>
                <w:ilvl w:val="0"/>
                <w:numId w:val="0"/>
              </w:num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名称</w:t>
            </w:r>
          </w:p>
        </w:tc>
        <w:tc>
          <w:tcPr>
            <w:tcW w:w="2130" w:type="dxa"/>
            <w:tcBorders>
              <w:bottom w:val="single" w:color="000000" w:sz="6" w:space="0"/>
              <w:right w:val="single" w:color="000000" w:sz="6" w:space="0"/>
            </w:tcBorders>
            <w:noWrap w:val="0"/>
            <w:vAlign w:val="center"/>
          </w:tcPr>
          <w:p>
            <w:pPr>
              <w:numPr>
                <w:ilvl w:val="0"/>
                <w:numId w:val="0"/>
              </w:numPr>
              <w:jc w:val="center"/>
              <w:rPr>
                <w:rFonts w:hint="eastAsia" w:asciiTheme="minorEastAsia" w:hAnsiTheme="minorEastAsia" w:cstheme="minorEastAsia"/>
                <w:lang w:val="en-US" w:eastAsia="zh-CN"/>
              </w:rPr>
            </w:pPr>
            <w:r>
              <w:rPr>
                <w:rFonts w:hint="eastAsia" w:asciiTheme="minorEastAsia" w:hAnsiTheme="minorEastAsia" w:cstheme="minorEastAsia"/>
                <w:lang w:val="en-US" w:eastAsia="zh-CN"/>
              </w:rPr>
              <w:t>规格型号</w:t>
            </w:r>
          </w:p>
        </w:tc>
        <w:tc>
          <w:tcPr>
            <w:tcW w:w="1680" w:type="dxa"/>
            <w:tcBorders>
              <w:bottom w:val="single" w:color="000000" w:sz="6" w:space="0"/>
              <w:right w:val="single" w:color="000000" w:sz="6" w:space="0"/>
            </w:tcBorders>
            <w:noWrap w:val="0"/>
            <w:vAlign w:val="center"/>
          </w:tcPr>
          <w:p>
            <w:pPr>
              <w:numPr>
                <w:ilvl w:val="0"/>
                <w:numId w:val="0"/>
              </w:num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数  量</w:t>
            </w:r>
          </w:p>
        </w:tc>
        <w:tc>
          <w:tcPr>
            <w:tcW w:w="4408" w:type="dxa"/>
            <w:tcBorders>
              <w:left w:val="single" w:color="000000" w:sz="6" w:space="0"/>
              <w:bottom w:val="single" w:color="000000" w:sz="6" w:space="0"/>
            </w:tcBorders>
            <w:noWrap w:val="0"/>
            <w:vAlign w:val="center"/>
          </w:tcPr>
          <w:p>
            <w:pPr>
              <w:numPr>
                <w:ilvl w:val="0"/>
                <w:numId w:val="0"/>
              </w:num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设备单价</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76" w:hRule="atLeast"/>
          <w:jc w:val="center"/>
        </w:trPr>
        <w:tc>
          <w:tcPr>
            <w:tcW w:w="2475" w:type="dxa"/>
            <w:gridSpan w:val="2"/>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213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168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4408" w:type="dxa"/>
            <w:tcBorders>
              <w:left w:val="single" w:color="000000" w:sz="6" w:space="0"/>
              <w:bottom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2475" w:type="dxa"/>
            <w:gridSpan w:val="2"/>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213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168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4408" w:type="dxa"/>
            <w:tcBorders>
              <w:left w:val="single" w:color="000000" w:sz="6" w:space="0"/>
              <w:bottom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2475" w:type="dxa"/>
            <w:gridSpan w:val="2"/>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213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168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4408" w:type="dxa"/>
            <w:tcBorders>
              <w:left w:val="single" w:color="000000" w:sz="6" w:space="0"/>
              <w:bottom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1106" w:type="dxa"/>
            <w:tcBorders>
              <w:bottom w:val="single" w:color="000000" w:sz="6" w:space="0"/>
            </w:tcBorders>
            <w:noWrap w:val="0"/>
            <w:vAlign w:val="top"/>
          </w:tcPr>
          <w:p>
            <w:pPr>
              <w:numPr>
                <w:ilvl w:val="0"/>
                <w:numId w:val="0"/>
              </w:numPr>
              <w:jc w:val="center"/>
              <w:rPr>
                <w:rFonts w:hint="eastAsia" w:asciiTheme="minorEastAsia" w:hAnsiTheme="minorEastAsia" w:cstheme="minorEastAsia"/>
                <w:lang w:val="en-US" w:eastAsia="zh-CN"/>
              </w:rPr>
            </w:pPr>
          </w:p>
        </w:tc>
        <w:tc>
          <w:tcPr>
            <w:tcW w:w="9587" w:type="dxa"/>
            <w:gridSpan w:val="4"/>
            <w:tcBorders>
              <w:bottom w:val="single" w:color="000000" w:sz="6" w:space="0"/>
            </w:tcBorders>
            <w:noWrap w:val="0"/>
            <w:vAlign w:val="top"/>
          </w:tcPr>
          <w:p>
            <w:pPr>
              <w:numPr>
                <w:ilvl w:val="0"/>
                <w:numId w:val="0"/>
              </w:num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421" w:hRule="atLeast"/>
          <w:jc w:val="center"/>
        </w:trPr>
        <w:tc>
          <w:tcPr>
            <w:tcW w:w="10693" w:type="dxa"/>
            <w:gridSpan w:val="5"/>
            <w:tcBorders>
              <w:top w:val="single" w:color="000000" w:sz="6" w:space="0"/>
            </w:tcBorders>
            <w:noWrap w:val="0"/>
            <w:vAlign w:val="center"/>
          </w:tcPr>
          <w:p>
            <w:pPr>
              <w:numPr>
                <w:ilvl w:val="0"/>
                <w:numId w:val="0"/>
              </w:numPr>
              <w:ind w:firstLine="210" w:firstLineChars="1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项目总价格</w:t>
            </w:r>
            <w:r>
              <w:rPr>
                <w:rFonts w:hint="eastAsia" w:asciiTheme="minorEastAsia" w:hAnsiTheme="minorEastAsia" w:cstheme="minorEastAsia"/>
                <w:lang w:val="en-US" w:eastAsia="zh-CN"/>
              </w:rPr>
              <w:t>：                                      大写：</w:t>
            </w:r>
          </w:p>
          <w:p>
            <w:pPr>
              <w:numPr>
                <w:ilvl w:val="0"/>
                <w:numId w:val="0"/>
              </w:numPr>
              <w:ind w:firstLine="6510" w:firstLineChars="3100"/>
              <w:rPr>
                <w:rFonts w:hint="eastAsia" w:asciiTheme="minorEastAsia" w:hAnsiTheme="minorEastAsia" w:cstheme="minorEastAsia"/>
                <w:lang w:val="en-US" w:eastAsia="zh-CN"/>
              </w:rPr>
            </w:pPr>
            <w:r>
              <w:rPr>
                <w:rFonts w:hint="eastAsia" w:asciiTheme="minorEastAsia" w:hAnsiTheme="minorEastAsia" w:cstheme="minorEastAsia"/>
                <w:lang w:val="en-US" w:eastAsia="zh-CN"/>
              </w:rPr>
              <w:t xml:space="preserve">  </w:t>
            </w:r>
          </w:p>
          <w:p>
            <w:pPr>
              <w:numPr>
                <w:ilvl w:val="0"/>
                <w:numId w:val="0"/>
              </w:numPr>
              <w:rPr>
                <w:rFonts w:hint="default" w:asciiTheme="minorEastAsia" w:hAnsiTheme="minorEastAsia" w:cstheme="minorEastAsia"/>
                <w:lang w:val="en-US" w:eastAsia="zh-CN"/>
              </w:rPr>
            </w:pPr>
            <w:r>
              <w:rPr>
                <w:rFonts w:hint="eastAsia" w:asciiTheme="minorEastAsia" w:hAnsiTheme="minorEastAsia" w:cstheme="minorEastAsia"/>
                <w:lang w:val="en-US" w:eastAsia="zh-CN"/>
              </w:rPr>
              <w:t>（即人民币¥：                                                  ）</w:t>
            </w:r>
          </w:p>
        </w:tc>
      </w:tr>
    </w:tbl>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注：▲</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en-US" w:eastAsia="zh-CN"/>
        </w:rPr>
        <w:t>、报价一经涂改，应在涂改处加盖单位公章或由负责人或被委托人签字或盖章，否则不得推荐为成交候选人。</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、报价应包括人工费、服务费、税金保险、工程配套费、运输费、安装调试费、培训费以及实施本项目所需的其他一切费用。</w:t>
      </w:r>
    </w:p>
    <w:p>
      <w:pPr>
        <w:numPr>
          <w:ilvl w:val="0"/>
          <w:numId w:val="0"/>
        </w:numPr>
        <w:rPr>
          <w:rFonts w:hint="eastAsia" w:asciiTheme="minorEastAsia" w:hAnsiTheme="minorEastAsia" w:eastAsiaTheme="minorEastAsia" w:cstheme="minor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780" w:firstLineChars="18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负责人（或被委托人）</w:t>
      </w:r>
      <w:r>
        <w:rPr>
          <w:rFonts w:hint="eastAsia" w:asciiTheme="minorEastAsia" w:hAnsiTheme="minorEastAsia" w:cstheme="minorEastAsia"/>
          <w:lang w:val="en-US" w:eastAsia="zh-CN"/>
        </w:rPr>
        <w:t>签字</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供应商盖章：</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 xml:space="preserve">                                                   日     期：</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lang w:val="en-US" w:eastAsia="zh-CN"/>
        </w:rPr>
        <w:t xml:space="preserve">  </w:t>
      </w:r>
    </w:p>
    <w:p>
      <w:pPr>
        <w:numPr>
          <w:ilvl w:val="0"/>
          <w:numId w:val="0"/>
        </w:numPr>
        <w:ind w:firstLine="420" w:firstLineChars="200"/>
        <w:rPr>
          <w:rFonts w:hint="eastAsia" w:asciiTheme="minorEastAsia" w:hAnsiTheme="minorEastAsia" w:eastAsiaTheme="minorEastAsia" w:cstheme="minorEastAsia"/>
          <w:lang w:val="en-US" w:eastAsia="zh-CN"/>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4.4.</w:t>
      </w:r>
      <w:r>
        <w:rPr>
          <w:rFonts w:hint="eastAsia" w:asciiTheme="minorEastAsia" w:hAnsiTheme="minorEastAsia" w:cstheme="minorEastAsia"/>
          <w:i w:val="0"/>
          <w:color w:val="000000"/>
          <w:kern w:val="0"/>
          <w:sz w:val="24"/>
          <w:szCs w:val="24"/>
          <w:u w:val="none"/>
          <w:lang w:val="en-US" w:eastAsia="zh-CN" w:bidi="ar"/>
        </w:rPr>
        <w:t>9</w:t>
      </w: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b/>
          <w:bCs/>
          <w:i w:val="0"/>
          <w:color w:val="000000"/>
          <w:kern w:val="0"/>
          <w:sz w:val="24"/>
          <w:szCs w:val="24"/>
          <w:u w:val="none"/>
          <w:lang w:val="en-US" w:eastAsia="zh-CN" w:bidi="ar"/>
        </w:rPr>
        <w:t>二次报价确认单</w:t>
      </w:r>
    </w:p>
    <w:p>
      <w:pPr>
        <w:jc w:val="center"/>
        <w:rPr>
          <w:rFonts w:hint="eastAsia" w:asciiTheme="minorEastAsia" w:hAnsiTheme="minorEastAsia" w:eastAsiaTheme="minorEastAsia" w:cstheme="minorEastAsia"/>
          <w:b/>
          <w:bCs/>
          <w:sz w:val="40"/>
          <w:szCs w:val="48"/>
          <w:lang w:eastAsia="zh-CN"/>
        </w:rPr>
      </w:pPr>
      <w:bookmarkStart w:id="0" w:name="_GoBack"/>
      <w:bookmarkEnd w:id="0"/>
    </w:p>
    <w:p>
      <w:pPr>
        <w:jc w:val="left"/>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eastAsia="zh-CN"/>
        </w:rPr>
        <w:t>项目名称：</w:t>
      </w:r>
      <w:r>
        <w:rPr>
          <w:rFonts w:hint="eastAsia" w:asciiTheme="minorEastAsia" w:hAnsiTheme="minorEastAsia" w:cstheme="minorEastAsia"/>
          <w:b/>
          <w:bCs/>
          <w:sz w:val="24"/>
          <w:szCs w:val="32"/>
          <w:lang w:val="en-US" w:eastAsia="zh-CN"/>
        </w:rPr>
        <w:t xml:space="preserve">                       </w:t>
      </w:r>
      <w:r>
        <w:rPr>
          <w:rFonts w:hint="eastAsia" w:asciiTheme="minorEastAsia" w:hAnsiTheme="minorEastAsia" w:eastAsiaTheme="minorEastAsia" w:cstheme="minorEastAsia"/>
          <w:b/>
          <w:bCs/>
          <w:sz w:val="24"/>
          <w:szCs w:val="32"/>
          <w:lang w:val="en-US" w:eastAsia="zh-CN"/>
        </w:rPr>
        <w:t xml:space="preserve">         项目编号：</w:t>
      </w:r>
    </w:p>
    <w:tbl>
      <w:tblPr>
        <w:tblStyle w:val="4"/>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55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906" w:type="dxa"/>
            <w:vAlign w:val="center"/>
          </w:tcPr>
          <w:p>
            <w:pPr>
              <w:jc w:val="center"/>
              <w:rPr>
                <w:rFonts w:hint="eastAsia" w:asciiTheme="minorEastAsia" w:hAnsiTheme="minorEastAsia" w:eastAsiaTheme="minorEastAsia" w:cstheme="minorEastAsia"/>
                <w:b/>
                <w:bCs/>
                <w:sz w:val="24"/>
                <w:szCs w:val="32"/>
                <w:vertAlign w:val="baseline"/>
                <w:lang w:eastAsia="zh-CN"/>
              </w:rPr>
            </w:pPr>
            <w:r>
              <w:rPr>
                <w:rFonts w:hint="eastAsia" w:asciiTheme="minorEastAsia" w:hAnsiTheme="minorEastAsia" w:eastAsiaTheme="minorEastAsia" w:cstheme="minorEastAsia"/>
                <w:b/>
                <w:bCs/>
                <w:sz w:val="24"/>
                <w:szCs w:val="32"/>
                <w:vertAlign w:val="baseline"/>
                <w:lang w:eastAsia="zh-CN"/>
              </w:rPr>
              <w:t>供</w:t>
            </w:r>
            <w:r>
              <w:rPr>
                <w:rFonts w:hint="eastAsia" w:asciiTheme="minorEastAsia" w:hAnsiTheme="minorEastAsia" w:eastAsiaTheme="minorEastAsia" w:cstheme="minorEastAsia"/>
                <w:b/>
                <w:bCs/>
                <w:sz w:val="24"/>
                <w:szCs w:val="32"/>
                <w:vertAlign w:val="baseline"/>
                <w:lang w:val="en-US" w:eastAsia="zh-CN"/>
              </w:rPr>
              <w:t xml:space="preserve"> </w:t>
            </w:r>
            <w:r>
              <w:rPr>
                <w:rFonts w:hint="eastAsia" w:asciiTheme="minorEastAsia" w:hAnsiTheme="minorEastAsia" w:eastAsiaTheme="minorEastAsia" w:cstheme="minorEastAsia"/>
                <w:b/>
                <w:bCs/>
                <w:sz w:val="24"/>
                <w:szCs w:val="32"/>
                <w:vertAlign w:val="baseline"/>
                <w:lang w:eastAsia="zh-CN"/>
              </w:rPr>
              <w:t>应</w:t>
            </w:r>
            <w:r>
              <w:rPr>
                <w:rFonts w:hint="eastAsia" w:asciiTheme="minorEastAsia" w:hAnsiTheme="minorEastAsia" w:eastAsiaTheme="minorEastAsia" w:cstheme="minorEastAsia"/>
                <w:b/>
                <w:bCs/>
                <w:sz w:val="24"/>
                <w:szCs w:val="32"/>
                <w:vertAlign w:val="baseline"/>
                <w:lang w:val="en-US" w:eastAsia="zh-CN"/>
              </w:rPr>
              <w:t xml:space="preserve"> </w:t>
            </w:r>
            <w:r>
              <w:rPr>
                <w:rFonts w:hint="eastAsia" w:asciiTheme="minorEastAsia" w:hAnsiTheme="minorEastAsia" w:eastAsiaTheme="minorEastAsia" w:cstheme="minorEastAsia"/>
                <w:b/>
                <w:bCs/>
                <w:sz w:val="24"/>
                <w:szCs w:val="32"/>
                <w:vertAlign w:val="baseline"/>
                <w:lang w:eastAsia="zh-CN"/>
              </w:rPr>
              <w:t>方</w:t>
            </w:r>
          </w:p>
        </w:tc>
        <w:tc>
          <w:tcPr>
            <w:tcW w:w="2559" w:type="dxa"/>
            <w:vAlign w:val="center"/>
          </w:tcPr>
          <w:p>
            <w:pPr>
              <w:jc w:val="center"/>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eastAsia="zh-CN"/>
              </w:rPr>
              <w:t>第二次报价（</w:t>
            </w:r>
            <w:r>
              <w:rPr>
                <w:rFonts w:hint="eastAsia" w:asciiTheme="minorEastAsia" w:hAnsiTheme="minorEastAsia" w:cstheme="minorEastAsia"/>
                <w:b/>
                <w:bCs/>
                <w:sz w:val="24"/>
                <w:szCs w:val="32"/>
                <w:vertAlign w:val="baseline"/>
                <w:lang w:eastAsia="zh-CN"/>
              </w:rPr>
              <w:t>万</w:t>
            </w:r>
            <w:r>
              <w:rPr>
                <w:rFonts w:hint="eastAsia" w:asciiTheme="minorEastAsia" w:hAnsiTheme="minorEastAsia" w:eastAsiaTheme="minorEastAsia" w:cstheme="minorEastAsia"/>
                <w:b/>
                <w:bCs/>
                <w:sz w:val="24"/>
                <w:szCs w:val="32"/>
                <w:vertAlign w:val="baseline"/>
                <w:lang w:eastAsia="zh-CN"/>
              </w:rPr>
              <w:t>元）</w:t>
            </w:r>
          </w:p>
        </w:tc>
        <w:tc>
          <w:tcPr>
            <w:tcW w:w="3060" w:type="dxa"/>
            <w:vAlign w:val="center"/>
          </w:tcPr>
          <w:p>
            <w:pPr>
              <w:jc w:val="center"/>
              <w:rPr>
                <w:rFonts w:hint="eastAsia" w:asciiTheme="minorEastAsia" w:hAnsiTheme="minorEastAsia" w:eastAsiaTheme="minorEastAsia" w:cstheme="minorEastAsia"/>
                <w:b/>
                <w:bCs/>
                <w:sz w:val="24"/>
                <w:szCs w:val="32"/>
                <w:vertAlign w:val="baseline"/>
                <w:lang w:eastAsia="zh-CN"/>
              </w:rPr>
            </w:pPr>
            <w:r>
              <w:rPr>
                <w:rFonts w:hint="eastAsia" w:asciiTheme="minorEastAsia" w:hAnsiTheme="minorEastAsia" w:eastAsiaTheme="minorEastAsia" w:cstheme="minorEastAsia"/>
                <w:b/>
                <w:bCs/>
                <w:sz w:val="24"/>
                <w:szCs w:val="32"/>
                <w:vertAlign w:val="baseline"/>
                <w:lang w:eastAsia="zh-CN"/>
              </w:rPr>
              <w:t>法定代表人或委托人签字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2906" w:type="dxa"/>
            <w:vAlign w:val="center"/>
          </w:tcPr>
          <w:p>
            <w:pPr>
              <w:jc w:val="center"/>
              <w:rPr>
                <w:rFonts w:hint="eastAsia" w:asciiTheme="minorEastAsia" w:hAnsiTheme="minorEastAsia" w:eastAsiaTheme="minorEastAsia" w:cstheme="minorEastAsia"/>
                <w:vertAlign w:val="baseline"/>
                <w:lang w:val="en-US" w:eastAsia="zh-CN"/>
              </w:rPr>
            </w:pPr>
          </w:p>
        </w:tc>
        <w:tc>
          <w:tcPr>
            <w:tcW w:w="2559" w:type="dxa"/>
            <w:vAlign w:val="center"/>
          </w:tcPr>
          <w:p>
            <w:pPr>
              <w:jc w:val="both"/>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单价：</w:t>
            </w:r>
          </w:p>
          <w:p>
            <w:pPr>
              <w:pStyle w:val="2"/>
              <w:rPr>
                <w:rFonts w:hint="eastAsia"/>
                <w:lang w:eastAsia="zh-CN"/>
              </w:rPr>
            </w:pPr>
          </w:p>
          <w:p>
            <w:pPr>
              <w:jc w:val="both"/>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项目总价格：</w:t>
            </w:r>
          </w:p>
        </w:tc>
        <w:tc>
          <w:tcPr>
            <w:tcW w:w="3060" w:type="dxa"/>
            <w:vAlign w:val="center"/>
          </w:tcPr>
          <w:p>
            <w:pPr>
              <w:jc w:val="center"/>
              <w:rPr>
                <w:rFonts w:hint="eastAsia" w:asciiTheme="minorEastAsia" w:hAnsiTheme="minorEastAsia" w:eastAsiaTheme="minorEastAsia" w:cstheme="minorEastAsia"/>
                <w:vertAlign w:val="baseline"/>
              </w:rPr>
            </w:pPr>
          </w:p>
        </w:tc>
      </w:tr>
    </w:tbl>
    <w:p>
      <w:pPr>
        <w:ind w:firstLine="210" w:firstLineChars="100"/>
        <w:rPr>
          <w:rFonts w:hint="eastAsia" w:asciiTheme="minorEastAsia" w:hAnsiTheme="minorEastAsia" w:eastAsiaTheme="minorEastAsia" w:cstheme="minorEastAsia"/>
          <w:sz w:val="20"/>
          <w:szCs w:val="22"/>
          <w:lang w:val="en-US" w:eastAsia="zh-CN"/>
        </w:rPr>
      </w:pPr>
      <w:r>
        <w:rPr>
          <w:rFonts w:hint="eastAsia" w:asciiTheme="minorEastAsia" w:hAnsiTheme="minorEastAsia" w:eastAsiaTheme="minorEastAsia" w:cstheme="minorEastAsia"/>
          <w:lang w:val="en-US" w:eastAsia="zh-CN"/>
        </w:rPr>
        <w:t>▲1、此二次报价单与投标文件具有同等效力，盖章后现场最终报价使用。</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公司名称（盖章）：</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numPr>
          <w:ilvl w:val="0"/>
          <w:numId w:val="0"/>
        </w:numPr>
        <w:ind w:firstLine="5040" w:firstLineChars="24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lang w:val="en-US" w:eastAsia="zh-CN"/>
        </w:rPr>
        <w:t xml:space="preserve"> 日   期 ：     </w:t>
      </w:r>
    </w:p>
    <w:p>
      <w:pPr>
        <w:numPr>
          <w:ilvl w:val="0"/>
          <w:numId w:val="0"/>
        </w:numPr>
        <w:rPr>
          <w:rFonts w:hint="eastAsia" w:asciiTheme="minorEastAsia" w:hAnsiTheme="minorEastAsia" w:eastAsiaTheme="minorEastAsia" w:cstheme="minorEastAsia"/>
          <w:b/>
          <w:bCs/>
          <w:lang w:val="en-US" w:eastAsia="zh-CN"/>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r>
        <w:rPr>
          <w:rFonts w:hint="eastAsia" w:asciiTheme="minorEastAsia" w:hAnsiTheme="minorEastAsia" w:cstheme="minorEastAsia"/>
          <w:b/>
          <w:bCs/>
          <w:i w:val="0"/>
          <w:color w:val="000000"/>
          <w:kern w:val="0"/>
          <w:sz w:val="24"/>
          <w:szCs w:val="24"/>
          <w:u w:val="none"/>
          <w:lang w:val="en-US" w:eastAsia="zh-CN" w:bidi="ar"/>
        </w:rPr>
        <w:t>五、开标时间及地点</w:t>
      </w:r>
    </w:p>
    <w:p>
      <w:pPr>
        <w:pStyle w:val="2"/>
        <w:numPr>
          <w:ilvl w:val="0"/>
          <w:numId w:val="0"/>
        </w:numPr>
        <w:ind w:firstLine="420" w:firstLineChars="200"/>
        <w:rPr>
          <w:rFonts w:hint="default"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5.1开标时间：2021年7月9日 13:30</w:t>
      </w:r>
    </w:p>
    <w:p>
      <w:pPr>
        <w:pStyle w:val="2"/>
        <w:numPr>
          <w:ilvl w:val="0"/>
          <w:numId w:val="0"/>
        </w:numPr>
        <w:ind w:firstLine="420" w:firstLineChars="200"/>
        <w:rPr>
          <w:rFonts w:hint="eastAsia"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5.2开标地点：四平市第一人民医院机关楼二楼会议室</w:t>
      </w:r>
    </w:p>
    <w:p>
      <w:pPr>
        <w:pStyle w:val="2"/>
        <w:numPr>
          <w:ilvl w:val="0"/>
          <w:numId w:val="0"/>
        </w:numPr>
        <w:ind w:firstLine="420" w:firstLineChars="200"/>
        <w:rPr>
          <w:rFonts w:hint="eastAsia" w:asciiTheme="minorEastAsia" w:hAnsiTheme="minorEastAsia" w:cstheme="minorEastAsia"/>
          <w:i w:val="0"/>
          <w:color w:val="000000"/>
          <w:kern w:val="0"/>
          <w:sz w:val="21"/>
          <w:szCs w:val="21"/>
          <w:u w:val="none"/>
          <w:lang w:val="en-US" w:eastAsia="zh-CN" w:bidi="ar"/>
        </w:rPr>
      </w:pPr>
    </w:p>
    <w:p>
      <w:pPr>
        <w:numPr>
          <w:ilvl w:val="0"/>
          <w:numId w:val="0"/>
        </w:numPr>
        <w:rPr>
          <w:rFonts w:hint="eastAsia"/>
          <w:lang w:val="en-US" w:eastAsia="zh-CN"/>
        </w:rPr>
      </w:pPr>
      <w:r>
        <w:rPr>
          <w:rFonts w:hint="eastAsia"/>
          <w:b/>
          <w:bCs/>
          <w:lang w:val="en-US" w:eastAsia="zh-CN"/>
        </w:rPr>
        <w:t>六、</w:t>
      </w:r>
      <w:r>
        <w:rPr>
          <w:rFonts w:hint="eastAsia" w:asciiTheme="minorEastAsia" w:hAnsiTheme="minorEastAsia" w:eastAsiaTheme="minorEastAsia" w:cstheme="minorEastAsia"/>
          <w:b/>
          <w:bCs/>
          <w:i w:val="0"/>
          <w:color w:val="000000"/>
          <w:kern w:val="0"/>
          <w:sz w:val="24"/>
          <w:szCs w:val="24"/>
          <w:u w:val="none"/>
          <w:lang w:val="en-US" w:eastAsia="zh-CN" w:bidi="ar"/>
        </w:rPr>
        <w:t>评审办法--综合评分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6.1</w:t>
      </w:r>
      <w:r>
        <w:rPr>
          <w:rFonts w:hint="eastAsia" w:ascii="宋体" w:hAnsi="Calibri" w:eastAsia="宋体" w:cs="Calibri"/>
          <w:b/>
          <w:bCs/>
          <w:kern w:val="2"/>
          <w:sz w:val="21"/>
          <w:szCs w:val="21"/>
          <w:lang w:val="en-US" w:eastAsia="zh-CN" w:bidi="nl-NL"/>
        </w:rPr>
        <w:t>投标报价（50分）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6.1.1满足比选文件实质性要求且最终报价最低的供应商的价格为投标基准价，其价格分为满分50分。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6.1.2比选报价得分=（比选基准价/比选报价）×50的公式计算得分。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6.1.3比选报价不完整的，不进入比选标准价的计算，本项得0分。</w:t>
      </w:r>
    </w:p>
    <w:p>
      <w:pPr>
        <w:widowControl w:val="0"/>
        <w:numPr>
          <w:ilvl w:val="0"/>
          <w:numId w:val="0"/>
        </w:numPr>
        <w:jc w:val="both"/>
        <w:rPr>
          <w:rFonts w:hint="eastAsia" w:ascii="宋体" w:hAnsi="Calibri" w:eastAsia="宋体" w:cs="Calibri"/>
          <w:kern w:val="2"/>
          <w:sz w:val="21"/>
          <w:szCs w:val="21"/>
          <w:lang w:val="en-US" w:eastAsia="zh-CN" w:bidi="nl-NL"/>
        </w:rPr>
      </w:pP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6.2</w:t>
      </w:r>
      <w:r>
        <w:rPr>
          <w:rFonts w:hint="eastAsia" w:ascii="宋体" w:hAnsi="Calibri" w:eastAsia="宋体" w:cs="Calibri"/>
          <w:b/>
          <w:bCs/>
          <w:kern w:val="2"/>
          <w:sz w:val="21"/>
          <w:szCs w:val="21"/>
          <w:lang w:val="en-US" w:eastAsia="zh-CN" w:bidi="nl-NL"/>
        </w:rPr>
        <w:t>技术（30分）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6.2.1 完全符合比选文件要求,没有负偏离得20 分。与比选文件要求有非实质性的负偏离的扣分,每条扣2分,扣完为止。 技术指标和配置高于比选要求并体现出产品的质量和性能更优的可加分,最多加10分。</w:t>
      </w:r>
    </w:p>
    <w:p>
      <w:pPr>
        <w:widowControl w:val="0"/>
        <w:numPr>
          <w:ilvl w:val="0"/>
          <w:numId w:val="0"/>
        </w:numPr>
        <w:jc w:val="both"/>
        <w:rPr>
          <w:rFonts w:hint="eastAsia" w:ascii="宋体" w:hAnsi="Calibri" w:eastAsia="宋体" w:cs="Calibri"/>
          <w:kern w:val="2"/>
          <w:sz w:val="21"/>
          <w:szCs w:val="21"/>
          <w:lang w:val="en-US" w:eastAsia="zh-CN" w:bidi="nl-NL"/>
        </w:rPr>
      </w:pPr>
    </w:p>
    <w:p>
      <w:pPr>
        <w:widowControl w:val="0"/>
        <w:numPr>
          <w:ilvl w:val="0"/>
          <w:numId w:val="0"/>
        </w:numPr>
        <w:jc w:val="both"/>
        <w:rPr>
          <w:rFonts w:hint="eastAsia" w:ascii="宋体" w:hAnsi="Calibri" w:eastAsia="宋体" w:cs="Calibri"/>
          <w:b/>
          <w:bCs/>
          <w:kern w:val="2"/>
          <w:sz w:val="21"/>
          <w:szCs w:val="21"/>
          <w:lang w:val="en-US" w:eastAsia="zh-CN" w:bidi="nl-NL"/>
        </w:rPr>
      </w:pPr>
      <w:r>
        <w:rPr>
          <w:rFonts w:hint="eastAsia" w:ascii="宋体" w:hAnsi="Calibri" w:eastAsia="宋体" w:cs="Calibri"/>
          <w:kern w:val="2"/>
          <w:sz w:val="21"/>
          <w:szCs w:val="21"/>
          <w:lang w:val="en-US" w:eastAsia="zh-CN" w:bidi="nl-NL"/>
        </w:rPr>
        <w:t>6.3</w:t>
      </w:r>
      <w:r>
        <w:rPr>
          <w:rFonts w:hint="eastAsia" w:ascii="宋体" w:hAnsi="Calibri" w:eastAsia="宋体" w:cs="Calibri"/>
          <w:b/>
          <w:bCs/>
          <w:kern w:val="2"/>
          <w:sz w:val="21"/>
          <w:szCs w:val="21"/>
          <w:lang w:val="en-US" w:eastAsia="zh-CN" w:bidi="nl-NL"/>
        </w:rPr>
        <w:t>业绩（5分）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6.3.1 近三年同类项目业绩,根据合同数量,每一个得 1分 ,最多得 5分；</w:t>
      </w:r>
    </w:p>
    <w:p>
      <w:pPr>
        <w:widowControl w:val="0"/>
        <w:numPr>
          <w:ilvl w:val="0"/>
          <w:numId w:val="0"/>
        </w:numPr>
        <w:jc w:val="both"/>
        <w:rPr>
          <w:rFonts w:hint="eastAsia" w:ascii="宋体" w:hAnsi="Calibri" w:eastAsia="宋体" w:cs="Calibri"/>
          <w:kern w:val="2"/>
          <w:sz w:val="21"/>
          <w:szCs w:val="21"/>
          <w:lang w:val="en-US" w:eastAsia="zh-CN" w:bidi="nl-NL"/>
        </w:rPr>
      </w:pP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6.4</w:t>
      </w:r>
      <w:r>
        <w:rPr>
          <w:rFonts w:hint="eastAsia" w:ascii="宋体" w:hAnsi="Calibri" w:eastAsia="宋体" w:cs="Calibri"/>
          <w:b/>
          <w:bCs/>
          <w:kern w:val="2"/>
          <w:sz w:val="21"/>
          <w:szCs w:val="21"/>
          <w:lang w:val="en-US" w:eastAsia="zh-CN" w:bidi="nl-NL"/>
        </w:rPr>
        <w:t>售后服务（15分）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6.4.1售后服务体系，主要包括质保期内维护保养措施、质保期外的服务承诺、服务人员的科学合理配备等。优：5分，良： 3-4分，一般：0-2分。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6.4.2供应商在设备的交货、安装、调试及项目实施能力具有详细、全面、切实可行的实施方案和计划，优：4分，良： 3分，一般：0-2分。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6.4.3提供免费保修期最短的不得分,每增加一 年得 3分,最多得6分 。</w:t>
      </w:r>
    </w:p>
    <w:p>
      <w:pPr>
        <w:widowControl w:val="0"/>
        <w:numPr>
          <w:ilvl w:val="0"/>
          <w:numId w:val="0"/>
        </w:numPr>
        <w:ind w:firstLine="420" w:firstLineChars="200"/>
        <w:jc w:val="both"/>
        <w:rPr>
          <w:rFonts w:hint="eastAsia"/>
          <w:sz w:val="21"/>
          <w:szCs w:val="21"/>
          <w:lang w:val="en-US" w:eastAsia="zh-CN"/>
        </w:rPr>
      </w:pPr>
      <w:r>
        <w:rPr>
          <w:rFonts w:hint="eastAsia" w:ascii="宋体" w:hAnsi="Calibri" w:eastAsia="宋体" w:cs="Calibri"/>
          <w:kern w:val="2"/>
          <w:sz w:val="21"/>
          <w:szCs w:val="21"/>
          <w:lang w:val="en-US" w:eastAsia="zh-CN" w:bidi="nl-NL"/>
        </w:rPr>
        <w:t>综合以上得分即为供应商的最终得分，评标委员会依据各供应商综合得分由高到低的顺序推荐候选中标单位3名。</w:t>
      </w:r>
    </w:p>
    <w:p>
      <w:pPr>
        <w:pStyle w:val="2"/>
        <w:numPr>
          <w:ilvl w:val="0"/>
          <w:numId w:val="0"/>
        </w:numPr>
        <w:rPr>
          <w:rFonts w:hint="eastAsia" w:asciiTheme="minorEastAsia" w:hAnsiTheme="minorEastAsia" w:cstheme="minorEastAsia"/>
          <w:i w:val="0"/>
          <w:color w:val="000000"/>
          <w:kern w:val="0"/>
          <w:sz w:val="24"/>
          <w:szCs w:val="24"/>
          <w:u w:val="none"/>
          <w:lang w:val="en-US" w:eastAsia="zh-CN" w:bidi="ar"/>
        </w:rPr>
      </w:pPr>
    </w:p>
    <w:p>
      <w:pPr>
        <w:numPr>
          <w:ilvl w:val="0"/>
          <w:numId w:val="0"/>
        </w:numPr>
        <w:ind w:leftChars="0" w:firstLine="420"/>
        <w:jc w:val="left"/>
        <w:rPr>
          <w:rFonts w:hint="default"/>
          <w:lang w:val="en-US" w:eastAsia="zh-CN"/>
        </w:rPr>
      </w:pPr>
    </w:p>
    <w:p>
      <w:pPr>
        <w:numPr>
          <w:ilvl w:val="0"/>
          <w:numId w:val="0"/>
        </w:numPr>
        <w:ind w:leftChars="0" w:firstLine="420"/>
        <w:jc w:val="left"/>
        <w:rPr>
          <w:rFonts w:hint="default"/>
          <w:lang w:val="en-US" w:eastAsia="zh-CN"/>
        </w:rPr>
      </w:pPr>
    </w:p>
    <w:p>
      <w:pPr>
        <w:numPr>
          <w:ilvl w:val="0"/>
          <w:numId w:val="0"/>
        </w:numPr>
        <w:ind w:leftChars="0"/>
        <w:jc w:val="left"/>
        <w:rPr>
          <w:rFonts w:hint="default"/>
          <w:lang w:val="en-US" w:eastAsia="zh-CN"/>
        </w:rPr>
      </w:pPr>
    </w:p>
    <w:p>
      <w:pPr>
        <w:numPr>
          <w:ilvl w:val="0"/>
          <w:numId w:val="0"/>
        </w:numPr>
        <w:ind w:leftChars="0"/>
        <w:jc w:val="left"/>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A54D9"/>
    <w:multiLevelType w:val="singleLevel"/>
    <w:tmpl w:val="856A54D9"/>
    <w:lvl w:ilvl="0" w:tentative="0">
      <w:start w:val="1"/>
      <w:numFmt w:val="chineseCounting"/>
      <w:suff w:val="nothing"/>
      <w:lvlText w:val="%1、"/>
      <w:lvlJc w:val="left"/>
      <w:rPr>
        <w:rFonts w:hint="eastAsia"/>
      </w:rPr>
    </w:lvl>
  </w:abstractNum>
  <w:abstractNum w:abstractNumId="1">
    <w:nsid w:val="29D1E40C"/>
    <w:multiLevelType w:val="singleLevel"/>
    <w:tmpl w:val="29D1E40C"/>
    <w:lvl w:ilvl="0" w:tentative="0">
      <w:start w:val="1"/>
      <w:numFmt w:val="decimal"/>
      <w:lvlText w:val="%1."/>
      <w:lvlJc w:val="left"/>
      <w:pPr>
        <w:tabs>
          <w:tab w:val="left" w:pos="312"/>
        </w:tabs>
        <w:ind w:left="4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C0841"/>
    <w:rsid w:val="04C9134D"/>
    <w:rsid w:val="07271166"/>
    <w:rsid w:val="0928561C"/>
    <w:rsid w:val="112D0061"/>
    <w:rsid w:val="12882AEF"/>
    <w:rsid w:val="18CC272B"/>
    <w:rsid w:val="1D294B74"/>
    <w:rsid w:val="25821384"/>
    <w:rsid w:val="2A2D6B69"/>
    <w:rsid w:val="2F370CF2"/>
    <w:rsid w:val="309E0C3C"/>
    <w:rsid w:val="450F0806"/>
    <w:rsid w:val="462D3FE5"/>
    <w:rsid w:val="55991ADE"/>
    <w:rsid w:val="58782ED9"/>
    <w:rsid w:val="5EAC7A71"/>
    <w:rsid w:val="6D0805A1"/>
    <w:rsid w:val="704C0841"/>
    <w:rsid w:val="74245B0D"/>
    <w:rsid w:val="767C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rPr>
      <w:rFonts w:ascii="Calibri" w:hAnsi="Calibri" w:eastAsia="Calibri" w:cs="Calibri"/>
      <w:lang w:val="nl-NL" w:eastAsia="nl-NL" w:bidi="nl-NL"/>
    </w:rPr>
  </w:style>
  <w:style w:type="paragraph" w:styleId="7">
    <w:name w:val="List Paragraph"/>
    <w:basedOn w:val="1"/>
    <w:qFormat/>
    <w:uiPriority w:val="34"/>
    <w:pPr>
      <w:widowControl/>
      <w:spacing w:after="200" w:line="276" w:lineRule="auto"/>
      <w:ind w:left="720"/>
      <w:contextualSpacing/>
      <w:jc w:val="left"/>
    </w:pPr>
    <w:rPr>
      <w:rFonts w:ascii="Calibri" w:hAnsi="Calibri" w:eastAsia="宋体" w:cs="Times New Roman"/>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2021-04-30T02:05:00Z</dcterms:created>
  <dc:creator>海冰</dc:creator>
  <cp:lastModifiedBy>梁红凯</cp:lastModifiedBy>
  <dcterms:modified xsi:type="dcterms:W3CDTF">2021-07-06T07:56:27Z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82B275A5DDC84C61B87614B9C030F7B4</vt:lpwstr>
  </property>
</Properties>
</file>